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3" w:rsidRPr="00435C43" w:rsidRDefault="00435C43" w:rsidP="00745E25">
      <w:pPr>
        <w:spacing w:after="200" w:line="240" w:lineRule="auto"/>
        <w:contextualSpacing/>
        <w:jc w:val="center"/>
        <w:rPr>
          <w:rFonts w:ascii="Calibri" w:eastAsia="Times New Roman" w:hAnsi="Calibri" w:cs="Calibri"/>
          <w:noProof/>
          <w:lang w:eastAsia="en-US"/>
        </w:rPr>
      </w:pPr>
      <w:r w:rsidRPr="00435C43">
        <w:rPr>
          <w:rFonts w:ascii="Calibri" w:eastAsia="Times New Roman" w:hAnsi="Calibri" w:cs="Calibri"/>
          <w:noProof/>
        </w:rPr>
        <w:drawing>
          <wp:inline distT="0" distB="0" distL="0" distR="0">
            <wp:extent cx="914400" cy="7848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6B6662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АДМИНИСТРАЦИЯ </w:t>
      </w:r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СЕЛЬСКОГО ПОСЕЛЕНИЯ СЕВРЮКАЕВО</w:t>
      </w:r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РАЙОНА СТАВРОПОЛЬСКИЙ</w:t>
      </w:r>
    </w:p>
    <w:p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35C43" w:rsidRPr="00745E25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E25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  <w:r w:rsidR="00466ABF" w:rsidRPr="00745E25">
        <w:rPr>
          <w:rFonts w:ascii="Times New Roman" w:eastAsia="Times New Roman" w:hAnsi="Times New Roman" w:cs="Times New Roman"/>
          <w:b/>
          <w:sz w:val="28"/>
          <w:szCs w:val="28"/>
        </w:rPr>
        <w:t xml:space="preserve"> (ПРОЕКТ)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35C43" w:rsidRPr="00435C43" w:rsidRDefault="00745E25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№____                                                                            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 xml:space="preserve">«__» ___________ 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721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Об основных направлениях бюджетной и налоговой политики</w:t>
      </w:r>
    </w:p>
    <w:p w:rsidR="00435C43" w:rsidRPr="00435C43" w:rsidRDefault="00435C43" w:rsidP="00435C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годах</w:t>
      </w:r>
      <w:bookmarkStart w:id="0" w:name="_GoBack"/>
      <w:bookmarkEnd w:id="0"/>
    </w:p>
    <w:p w:rsidR="00435C43" w:rsidRPr="00435C43" w:rsidRDefault="00435C43" w:rsidP="00435C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укрепления налогового потенциала бюджета сельского поселения Севрюкаево муниципального района Ставропольский Самарской области, установления основных приоритетов  бюджетных расходов, руководствуясь Положением о бюджетном процессе в сельском поселении Севрюкаево муниципального района Ставропольский Самарской области, утвержденного 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>Решением Собрания</w:t>
      </w:r>
      <w:r w:rsidR="004B6C52" w:rsidRPr="001336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Представителей от 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17</w:t>
      </w:r>
      <w:r w:rsidR="00255BE4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г.  №</w:t>
      </w:r>
      <w:r w:rsidR="00936C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20</w:t>
      </w:r>
      <w:r w:rsidR="00880DC0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администрация сельского поселения Севрюкаево муниципального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 xml:space="preserve"> района Ставропольский Самарской области</w:t>
      </w:r>
    </w:p>
    <w:p w:rsidR="001336DE" w:rsidRDefault="001336DE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F414C8" w:rsidRPr="00B120E4" w:rsidRDefault="00435C43" w:rsidP="00745E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1.</w:t>
      </w:r>
      <w:r w:rsidR="00745E2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>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</w:t>
      </w:r>
      <w:r w:rsidR="00180069" w:rsidRPr="00B120E4">
        <w:rPr>
          <w:rFonts w:ascii="Times New Roman" w:eastAsia="Times New Roman" w:hAnsi="Times New Roman" w:cs="Times New Roman"/>
          <w:sz w:val="26"/>
          <w:szCs w:val="26"/>
        </w:rPr>
        <w:t>1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180069" w:rsidRPr="00B120E4">
        <w:rPr>
          <w:rFonts w:ascii="Times New Roman" w:eastAsia="Times New Roman" w:hAnsi="Times New Roman" w:cs="Times New Roman"/>
          <w:sz w:val="26"/>
          <w:szCs w:val="26"/>
        </w:rPr>
        <w:t>3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годы,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согласно Приложения №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20E4" w:rsidRPr="00B120E4" w:rsidRDefault="00F414C8" w:rsidP="00745E25">
      <w:pPr>
        <w:pStyle w:val="a9"/>
        <w:spacing w:before="0" w:beforeAutospacing="0" w:after="0" w:afterAutospacing="0"/>
        <w:jc w:val="both"/>
        <w:textAlignment w:val="baseline"/>
        <w:rPr>
          <w:rStyle w:val="FontStyle38"/>
          <w:bCs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 xml:space="preserve">      </w:t>
      </w:r>
      <w:r w:rsidR="00435C43" w:rsidRPr="00B120E4">
        <w:rPr>
          <w:sz w:val="26"/>
          <w:szCs w:val="26"/>
        </w:rPr>
        <w:t xml:space="preserve">2. </w:t>
      </w:r>
      <w:r w:rsidR="00B120E4" w:rsidRPr="00B120E4">
        <w:rPr>
          <w:rStyle w:val="FontStyle38"/>
          <w:sz w:val="26"/>
          <w:szCs w:val="26"/>
        </w:rPr>
        <w:t>Контроль за выполнением настоящего постановления оставляю за собой.</w:t>
      </w:r>
    </w:p>
    <w:p w:rsidR="00435C43" w:rsidRPr="00B120E4" w:rsidRDefault="00745E25" w:rsidP="00745E2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435C43" w:rsidRPr="00B120E4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с 1 января 202</w:t>
      </w:r>
      <w:r w:rsidR="00953A84" w:rsidRPr="00B120E4">
        <w:rPr>
          <w:rFonts w:ascii="Times New Roman" w:eastAsia="Times New Roman" w:hAnsi="Times New Roman" w:cs="Times New Roman"/>
          <w:sz w:val="26"/>
          <w:szCs w:val="26"/>
        </w:rPr>
        <w:t>1</w:t>
      </w:r>
      <w:r w:rsidR="00435C43"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года и действует до 31 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>декабря 202</w:t>
      </w:r>
      <w:r w:rsidR="00953A84" w:rsidRPr="00302EAA">
        <w:rPr>
          <w:rFonts w:ascii="Times New Roman" w:eastAsia="Times New Roman" w:hAnsi="Times New Roman" w:cs="Times New Roman"/>
          <w:sz w:val="26"/>
          <w:szCs w:val="26"/>
        </w:rPr>
        <w:t>3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года, а также с </w:t>
      </w:r>
      <w:r w:rsidR="001336DE" w:rsidRPr="00302EAA">
        <w:rPr>
          <w:rFonts w:ascii="Times New Roman" w:eastAsia="Times New Roman" w:hAnsi="Times New Roman" w:cs="Times New Roman"/>
          <w:sz w:val="26"/>
          <w:szCs w:val="26"/>
        </w:rPr>
        <w:t>0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>1 января 202</w:t>
      </w:r>
      <w:r w:rsidR="00953A84" w:rsidRPr="00302EAA">
        <w:rPr>
          <w:rFonts w:ascii="Times New Roman" w:eastAsia="Times New Roman" w:hAnsi="Times New Roman" w:cs="Times New Roman"/>
          <w:sz w:val="26"/>
          <w:szCs w:val="26"/>
        </w:rPr>
        <w:t>1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отменяет действия Постановления «Об основных направлениях бюджетной и налоговой политики в 20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20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годах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 xml:space="preserve">» от 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>3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0.10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 xml:space="preserve">.2019 года № 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39</w:t>
      </w:r>
      <w:r w:rsidR="00435C43" w:rsidRPr="00302EA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35C43" w:rsidRPr="00435C43" w:rsidRDefault="00435C43" w:rsidP="0074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C1F5A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http://sevrukaevo.stavrsp</w:t>
      </w:r>
      <w:r w:rsidRPr="00EC1F5A">
        <w:rPr>
          <w:rFonts w:ascii="Times New Roman" w:eastAsia="Times New Roman" w:hAnsi="Times New Roman" w:cs="Times New Roman"/>
          <w:sz w:val="28"/>
          <w:szCs w:val="28"/>
          <w:lang w:eastAsia="hi-IN"/>
        </w:rPr>
        <w:t>.ru</w:t>
      </w:r>
    </w:p>
    <w:p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:rsidR="00435C43" w:rsidRPr="00435C43" w:rsidRDefault="00435C43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Глава сельского поселения Севрюкае</w:t>
      </w:r>
      <w:r w:rsidR="00745E2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        _____________ </w:t>
      </w:r>
      <w:r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Н.Н. Алембатров</w:t>
      </w:r>
    </w:p>
    <w:p w:rsidR="00746266" w:rsidRDefault="00746266" w:rsidP="00745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5E25" w:rsidRDefault="00745E25" w:rsidP="00745E2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745E25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lastRenderedPageBreak/>
        <w:t>Приложение</w:t>
      </w:r>
      <w:r w:rsidR="006B6662" w:rsidRPr="00745E25">
        <w:rPr>
          <w:rFonts w:ascii="Times New Roman" w:eastAsia="Times New Roman" w:hAnsi="Times New Roman" w:cs="Times New Roman"/>
        </w:rPr>
        <w:t xml:space="preserve"> №</w:t>
      </w:r>
      <w:r w:rsidR="00CE3E4D" w:rsidRPr="00745E25">
        <w:rPr>
          <w:rFonts w:ascii="Times New Roman" w:eastAsia="Times New Roman" w:hAnsi="Times New Roman" w:cs="Times New Roman"/>
        </w:rPr>
        <w:t xml:space="preserve"> </w:t>
      </w:r>
      <w:r w:rsidR="006B6662" w:rsidRPr="00745E25">
        <w:rPr>
          <w:rFonts w:ascii="Times New Roman" w:eastAsia="Times New Roman" w:hAnsi="Times New Roman" w:cs="Times New Roman"/>
        </w:rPr>
        <w:t>1</w:t>
      </w:r>
    </w:p>
    <w:p w:rsidR="00435C43" w:rsidRPr="00745E25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t>к  Постановлению администрации</w:t>
      </w:r>
    </w:p>
    <w:p w:rsidR="00435C43" w:rsidRPr="00745E25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t xml:space="preserve"> сельского поселения Севрюкаево</w:t>
      </w:r>
    </w:p>
    <w:p w:rsidR="00435C43" w:rsidRPr="00745E25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</w:p>
    <w:p w:rsidR="00435C43" w:rsidRPr="00745E25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435C43" w:rsidRPr="00745E25" w:rsidRDefault="00DA766E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45E25">
        <w:rPr>
          <w:rFonts w:ascii="Times New Roman" w:eastAsia="Times New Roman" w:hAnsi="Times New Roman" w:cs="Times New Roman"/>
        </w:rPr>
        <w:t>о</w:t>
      </w:r>
      <w:r w:rsidR="00435C43" w:rsidRPr="00745E25">
        <w:rPr>
          <w:rFonts w:ascii="Times New Roman" w:eastAsia="Times New Roman" w:hAnsi="Times New Roman" w:cs="Times New Roman"/>
        </w:rPr>
        <w:t xml:space="preserve">т </w:t>
      </w:r>
      <w:r w:rsidRPr="00745E25">
        <w:rPr>
          <w:rFonts w:ascii="Times New Roman" w:eastAsia="Times New Roman" w:hAnsi="Times New Roman" w:cs="Times New Roman"/>
        </w:rPr>
        <w:t>«__» ______</w:t>
      </w:r>
      <w:r w:rsidR="00435C43" w:rsidRPr="00745E25">
        <w:rPr>
          <w:rFonts w:ascii="Times New Roman" w:eastAsia="Times New Roman" w:hAnsi="Times New Roman" w:cs="Times New Roman"/>
        </w:rPr>
        <w:t>20</w:t>
      </w:r>
      <w:r w:rsidRPr="00745E25">
        <w:rPr>
          <w:rFonts w:ascii="Times New Roman" w:eastAsia="Times New Roman" w:hAnsi="Times New Roman" w:cs="Times New Roman"/>
        </w:rPr>
        <w:t>20</w:t>
      </w:r>
      <w:r w:rsidR="00435C43" w:rsidRPr="00745E25">
        <w:rPr>
          <w:rFonts w:ascii="Times New Roman" w:eastAsia="Times New Roman" w:hAnsi="Times New Roman" w:cs="Times New Roman"/>
        </w:rPr>
        <w:t xml:space="preserve"> г. № </w:t>
      </w:r>
      <w:r w:rsidRPr="00745E25">
        <w:rPr>
          <w:rFonts w:ascii="Times New Roman" w:eastAsia="Times New Roman" w:hAnsi="Times New Roman" w:cs="Times New Roman"/>
        </w:rPr>
        <w:t>___</w:t>
      </w:r>
    </w:p>
    <w:p w:rsidR="00435C43" w:rsidRPr="00435C43" w:rsidRDefault="00435C43" w:rsidP="00435C43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Основные направления бюджетной и налоговой политики  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в сельском поселении Севрюкаево муниципального района Ставропольский                 Самарской области   на 202</w:t>
      </w:r>
      <w:r w:rsidR="00F17E43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F17E43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годы.</w:t>
      </w:r>
    </w:p>
    <w:p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Основные направления бюджетной политики на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BF6CBA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- Основные направления бюджетной политики) разработаны в соответствии со статьей 165 Бюджетного кодекса Российской Федерации (далее - Бюджетный кодекс).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подготовке Основных направлений бюджетной и налоговой политики были учтены положения Указа Президента Российской Федерации от 07 мая 2018г. № 204 «О национальных целях и стратегических задачах развития Российской Федерации на период до 2024 года», Послания Президента Российской Федерации Федеральному Собранию Российской Федерации от 20 февраля 2019 года.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  на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- проект бюджета на 2020 - 2022 годы), подходов к его формированию, основных характеристик и прогнозируемых параметров бюджета сельского поселения Севрюкаево муниципального района Ставропольский Самарской области.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Реализация бюджетной политики в 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годах осуществлялась в качественно новых экономических условиях. Падение цен на традиционные товары российского экспорта,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условия, не соответствующие тем ожиданиям, которые закладывались при формировании бюджета на предшествующую трехлетку.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условиях стремительного роста волатильности на финансовом рынке в </w:t>
      </w:r>
      <w:r w:rsidRPr="00746266">
        <w:rPr>
          <w:rFonts w:ascii="Times New Roman" w:eastAsia="Times New Roman" w:hAnsi="Times New Roman" w:cs="Times New Roman"/>
          <w:sz w:val="26"/>
          <w:szCs w:val="26"/>
        </w:rPr>
        <w:t>конце 2016 года главной задачей экономической политики стало сохранение финансовой стабильности. Немаловажную роль в этом сыграла и бюджетная политика.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сектора. Российская экономика практически завершила структурную адаптацию к внешним шокам, а, соответственно, исчерпался и негативный импульс от корректировки внутреннего спроса, необходимого для такой подстройки.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импульс.</w:t>
      </w:r>
    </w:p>
    <w:p w:rsidR="00435C43" w:rsidRPr="00746266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долгосрочной сбалансированности и устойчивости бюджетов, определения финансовых возможностей для реализации муниципальных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программ, оценки бюджетных рисков и своевременной проработки мер по их </w:t>
      </w:r>
      <w:r w:rsidRPr="00746266">
        <w:rPr>
          <w:rFonts w:ascii="Times New Roman" w:eastAsia="Times New Roman" w:hAnsi="Times New Roman" w:cs="Times New Roman"/>
          <w:sz w:val="26"/>
          <w:szCs w:val="26"/>
        </w:rPr>
        <w:t>минимизации с 2016 года в Бюджетный кодекс включено требование о разработке и представлении в законодательные органы одновременно с проектом бюджета проекта долгосрочного бюджетного прогноза.</w:t>
      </w:r>
    </w:p>
    <w:p w:rsidR="00435C43" w:rsidRPr="00746266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266">
        <w:rPr>
          <w:rFonts w:ascii="Times New Roman" w:eastAsia="Times New Roman" w:hAnsi="Times New Roman" w:cs="Times New Roman"/>
          <w:sz w:val="26"/>
          <w:szCs w:val="26"/>
        </w:rPr>
        <w:t xml:space="preserve">К итогам реализации бюджетной политики в 2016 году можно отнести то, что начиная с 2016 года осуществлен переход на принцип планирования и исполнения местного бюджета на основе муниципальных программ. 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46266">
        <w:rPr>
          <w:rFonts w:ascii="Times New Roman" w:eastAsia="Times New Roman" w:hAnsi="Times New Roman" w:cs="Times New Roman"/>
          <w:sz w:val="26"/>
          <w:szCs w:val="26"/>
        </w:rPr>
        <w:t>В рамках мероприятий по повышению эффективности бюджетных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расходов проведена работа по формированию нормативно-правовой базы в области муниципальных закупок. Приняты правовые акты, регулирующие нормирование затрат на обеспечение функций администрации сельского поселения.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Значительный риск для российской экономики по-прежнему несет усиление геополитической напряженности в мире, что может дополнительно затруднить доступ российских компаний к мировому рынку капитала, привести к ослаблению рубля и новому витку роста потребительских цен, снижению деловой и потребительской активности. 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связи с тем, что на сегодняшний день главный вызов связан с нахождением баланса между усложняющимися задачами государственной политики и установленными на новом, более низком уровне бюджетными возможностями, задача повышения эффективности бюджетных расходов выходит на первый план.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Существенный резерв повышения эффективности бюджетных расходов лежит в области подготовки бюджетных решений. В борьбе за эффективное использование бюджетных средств требуется смещение акцента на оценку обоснованности решений. Необходимо активно использовать оценку эффективности бюджетных расходов уже на этапе планирования расходов.</w:t>
      </w:r>
    </w:p>
    <w:p w:rsidR="00435C43" w:rsidRPr="00435C43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Реализация поставленных задач потребует совершенствования налоговой системы Российской Федерации. Также необходимо продолжить работу по повышению собираемости налогов за счет сокращения теневого сектора, внедрения цифровых технологий в организацию налогового администрирования и налогового контроля.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        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деятельности, стимулирование развития среднего и малого предпринимательства, улучшение положения налогоплательщиков. При этом необходимо расширять налоговую базу местных бюджетов, а также выявлять дополнительные источники налоговых доходов бюджетов бюджетной системы Российской Федерации.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ПРИОРИТЕТЫ БЮДЖЕТНЫХ РАСХОДОВ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НА 202</w:t>
      </w:r>
      <w:r w:rsidR="00243585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– 202</w:t>
      </w:r>
      <w:r w:rsidR="00243585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435C43" w:rsidRPr="00435C43" w:rsidRDefault="00435C43" w:rsidP="00435C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трехлетней перспективе 20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- 202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приоритеты в области налоговой политики остаются такими же, как и ранее - создание эффективной и стабильной налоговой системы, обеспечивающей бюджетную устойчивость в среднесрочной и долгосрочной перспективе, а также дальнейшее повышение эффективности налоговой системы. Основными целями налоговой политики являются, увеличение налогового потенциала посредством реализации мер направленных на повышение собираемости налогов и сборов, снижение масштабов уклонения от уплаты налогов. Одновременно в рамках своих полномочий планируется дальнейшее применение мер налогового стимулирования инвестиций, а также дальнейшее повышение эффективности системы налогового администрирования.</w:t>
      </w:r>
    </w:p>
    <w:p w:rsidR="00435C43" w:rsidRPr="00435C43" w:rsidRDefault="00B34D0D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>Исходя из приоритетов налоговой политики, главным администраторам доходов местного бюджета необходимо направить усилия на решение следующих задач: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обеспечение уровня доходов местного бюджета, достаточного для гарантированного и качественного выполнения задач и функций местного самоуправления;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повышение качества администрирования налоговых и неналоговых доходов местного бюджета;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имущества.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Для реализации основных целей и задач налоговой политики предстоит реализовать комплекс мер, направленных на увеличение налогового потенциала, повышение собираемости налоговых и неналоговых доходов, в том числе: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сокращение задолженности по налоговым и неналоговым доходам в местный бюджет;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усиление претензионно-исковой работы с недоимщиками по неналоговым доходам в местный бюджет;</w:t>
      </w:r>
    </w:p>
    <w:p w:rsidR="00435C43" w:rsidRPr="00435C43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продолжение работы по легализации заработной платы;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сельского поселения, которые должны предусматривать в том числе и сценарии возможного повторного ухудшения экономической ситуации.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Необходимо соблюдение четких правил оценки объема действующих расходных обязательств и процедуры принятия новых расходных обязательств,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повышение ответственности за достоверность их финансово-экономических обоснований.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энергоэффективность. Это отмечалось и в Бюджетном Послании Президента РФ.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Участие в предупреждении и ликвидации последствий чрезвычайных ситуаций, 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Организация благоустройства территории поселения, электро-, тепло-, газо- и водоснабжение населения – это наши текущие неотъемлемые задачи.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Основными задачами ближайших лет по повышению эффективности бюджетных расходов являются: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и результативности имеющихся инструментов программно-целевого управления и бюджетирования;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создание условий для повышения качества предоставления муниципальных услуг;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процедур проведения муниципальных закупок, в том числе путем внедрения казначейского сопровождения;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совершенствование процедур предварительного и последующего контроля, в том числе уточнение порядка и содержания мер принуждения к нарушениям в финансово-бюджетной сфере;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обеспечение широкого вовлечения граждан в процедуры обсуждения и принятия конкретных бюджетных решений, общественного контроля их эффективности и результативности.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«Электронный бюджет».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С 2017 года внедрены компоненты системы,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бюджета, управлению муниципальным долгом и финансовыми активами, прогнозированию и администрированию доходов бюджетов бюджетной системы.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рамках мероприятий по информационному обеспечению контрактной системы в сфере закупок и интеграции бюджетного и закупочного процессов в системе «Электронный бюджет» будет обеспечено формирование и контроль соответствия лимитам бюджетных обязательств планов и планов-графиков закупок муниципальных заказчиков, а также последующий контроль на соответствие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утвержденным планам-графикам закупок всей закупочной документации, размещаемой в единой информационной системе в сфере закупок.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Кроме того, в целях обеспечения прозрачности и открытости муниципальных финансов, повышения доступности и понятности информации о бюджете будет продолжена регулярная публикация в средствах массовой информации.</w:t>
      </w:r>
    </w:p>
    <w:p w:rsidR="006B6662" w:rsidRPr="00435C43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Также, с целью внутреннего социального и экономического развития, особое внимание необходимо уделить </w:t>
      </w:r>
      <w:r w:rsidRPr="00435C4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задачам, которые поставлены в майском указе Президента РФ, развернуты в национальных проектах. Их содержание и ориентиры отражают запросы и ожидания граждан страны. Национальные проекты построены вокруг человека, ради достижения нового качества жизни для всех поколений, которое может быть обеспечено только при динамичном развитии России.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НАПРАВЛЕНИЯ НАЛОГОВОЙ ПОЛИТИКИ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Основные направления налоговой политики сельского поселения на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и на плановый период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24358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годов (далее – Основные направления налоговой политики) подготовлены с целью составления проекта бюджета сельского поселения на очередной финансовый год и двухлетний плановый период.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Основные меры в области налоговой политики,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планируемые к реализации в 202</w:t>
      </w:r>
      <w:r w:rsidR="0024358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году и плановом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периоде 202</w:t>
      </w:r>
      <w:r w:rsidR="00243585">
        <w:rPr>
          <w:rFonts w:ascii="Times New Roman" w:eastAsia="Times New Roman" w:hAnsi="Times New Roman" w:cs="Times New Roman"/>
          <w:b/>
          <w:sz w:val="26"/>
          <w:szCs w:val="26"/>
        </w:rPr>
        <w:t>2 и 2023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рамках исполнения Послания Президента Российской Федерации,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предполагается внесение изменений в законодательство Российской Федерации, предусматривающих добровольное декларирование физическими лицами имущества (счетов и вкладов в банках), включая возможности задекларировать имущество, переданное номинальному владельцу, предоставление таким декларантам значительного объема муниципальных гарантий, направленных на непривлечение к уголовной, административной и налоговой ответственности в части нарушений налогового, валютного и таможенного законодательства. 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Необходимо понимать, что рост доходов должен быть обеспечен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Налогообложение доходов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Налогообложение доходов физических лиц требует постоянной корректировки, с одной стороны, с целью исключения необоснованных налоговых льгот, а с другой стороны, с целью уточнения отдельных положений в части порядка определения налоговой базы и контроля за полнотой и своевременностью уплаты налога. Например, предполагается уточнение порядка освобождения отдельных видов доходов от обложения налогом на доходы физических лиц, в том числе при увольнении гражданских служащих, военнослужащих и судей, при получении доходов в иностранной валюте, уточнение отдельных положений по налогообложению выигрышей в лотереи.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Акцизное налогообложение.  Индексация ставок акцизов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На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годы предусматривается сохранение размеров ставок акцизов, установленных действующим законодательством о налогах и сборах. На 202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год предполагается индексация ставок акцизов с учетом индекса потребительских цен.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1.3Оценка эффективности налоговых льгот и иных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стимулирующих механизмов. Подходы к установлению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налоговых льгот. Отмена федеральных льгот по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региональным и местным налогам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Основных направлениях </w:t>
      </w:r>
      <w:r w:rsidRPr="00777264">
        <w:rPr>
          <w:rFonts w:ascii="Times New Roman" w:eastAsia="Times New Roman" w:hAnsi="Times New Roman" w:cs="Times New Roman"/>
          <w:sz w:val="26"/>
          <w:szCs w:val="26"/>
        </w:rPr>
        <w:t>налоговой политики на 2011 - 2013 годы была впервые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поставлена задача постепенной отмены федеральных льгот по региональным и местным налогам.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объектов, а также льгот по земельному налогу для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Принятый в 2012 году Федеральный закон от 29 ноября 2012 г. № 202-ФЗ «О внесении изменений в часть вторую Налогового кодекса Российской Федерации», предусматривает поэтапную отмену льгот по налогу на имущество организаций в отношении линейных объектов инфраструктуры.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Так, с 2013 года были отменены наиболее крупные налоговые льготы по налогу на имущество организаций в отношении железнодорожных путей общего пользования, магистральных трубопроводов, линий энергопередачи, сооружений, являющихся их неотъемлемой технологической частью, с постепенным увеличением ставки с 0,4% в 2013 году до 2,2% в 2019 году.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Также объекты налогообложения земельных участков, ограниченных в обороте в соответствии с законодательством Российской Федерации и предоставленных для обеспечения обороны, безопасности и таможенных нужд, были включены в состав объектов налогообложения по земельному налогу, с установлением в отношении таких земельных участков налоговой ставки, не превышающей 0,3 процента их кадастровой стоимости.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 оценкам Минфина России,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налогам. Таким образом, по окончании переходного периода, к 2018 году, федеральные льготы по региональным и местным налогам уже в соответствии с принятыми решениями будут сокращены на 85 процентов.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налогам, так и по федеральным налогам и специальным налоговым режимам, доходы от которых поступают в бюджеты субъектов Российской Федерации и местные бюджеты,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оценка эффективности введения новой льготы должна стать обязательным элементом процесса введения новой льготы.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Для этого любая новая налоговая льгота должна устанавливаться на ограниченный период – например, на 5 лет или более длительный срок в зависимости от целевой направленности этой льготы.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этом принятие новой льготы, налогового освобождения или иного стимулирующего механизма в рамках налоговой политики должно сопровождаться определением «источника» для 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Одновременно предполагается окончательно отказаться от установления новых льгот на федеральном уровне (включая освобождения от налогообложения, изъятия из налоговой базы и объекта налогообложения) по региональным и местным налогам.</w:t>
      </w:r>
    </w:p>
    <w:p w:rsidR="00435C43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то же время, единовременная отмена налоговых льгот, имеющих важное социальное и государственное значение, установленных законодательством Российской Федерации о налогах и сборах, может привести к социальной напряженности в обществе (например, отмена налоговых льгот для инвалидов, пенсионеров, религиозных организаций) либо к увеличению расходных обязательств федерального бюджета (например, отмена налоговых льгот для учреждений уголовно-исполнительной системы). В связи с этим отмене должны подлежать налоговые льготы, не оказывающие влияния на достижение одной из целей налоговой политики – стимулирование экономического роста, и не имеющие социального эффекта.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Основные итоги реализации налоговой политики</w:t>
      </w:r>
    </w:p>
    <w:p w:rsidR="00435C43" w:rsidRPr="00435C43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Налогообложение недвижимого имущества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рамках совершенствования налогообложения имущества физических лиц с 2015 года в Кодекс введена новая глава 32 «Налог на имущество физических лиц».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имущества, как наиболее приближенной к рыночной стоимости этого имущества.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Обеспечивая равенство налогообложения и защиту социально- незащищенных категорий граждан, на федеральном уровне предусмотрены налоговые вычеты в отношении объектов жилого назначения, налоговые льготы, предоставляемые отдельным категориям налогоплательщиков, а также понижающие коэффициенты, применяемые в течение первых четырех налоговых периодов после введения нового налога. Учитывая местный характер налога, широкие полномочия по установлению налога предоставлены субъектам Российской Федерации и представительным органам муниципальных образований.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Так, по решению субъекта Российской Федерации устанавливается порядок определения налоговой базы по налогу на имущество физических лиц: исходя из кадастровой стоимости объекта или его инвентаризационной стоимости (т.е. </w:t>
      </w:r>
      <w:r w:rsidRPr="009C569E">
        <w:rPr>
          <w:rFonts w:ascii="Times New Roman" w:eastAsia="Times New Roman" w:hAnsi="Times New Roman" w:cs="Times New Roman"/>
          <w:sz w:val="26"/>
          <w:szCs w:val="26"/>
        </w:rPr>
        <w:lastRenderedPageBreak/>
        <w:t>временное (до 202</w:t>
      </w:r>
      <w:r w:rsidR="00D43D41" w:rsidRPr="009C569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9C569E">
        <w:rPr>
          <w:rFonts w:ascii="Times New Roman" w:eastAsia="Times New Roman" w:hAnsi="Times New Roman" w:cs="Times New Roman"/>
          <w:sz w:val="26"/>
          <w:szCs w:val="26"/>
        </w:rPr>
        <w:t xml:space="preserve"> года) сохранение действующего порядка). По решению представительных органов муниципальных образований налог вводится в действие или прекращает действовать на соответствующей территории, определяются конкретные налоговые ставки, могут увеличиваться размеры налоговых вычетов и устанавливаться дополнительные налоговые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льготы.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Имущественные налоги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2.2.1. Налог на имущество организаций и налог на имущество физических лиц для налогоплательщиков, применяющих  специальные налоговые режимы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законодательство о налогах и сборах внесены изменения,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Так, в частности, в Кодекс введено положение, предусматривающее, что организации, применяющие упрощенную систему налогообложения или систему налогообложения в виде единого налога на вмененный доход, не освобождаются от уплаты налога на имущество организаций в отношении имущества, налоговая база по которому определяется исходя из его кадастровой стоимости. К таким объектам отнесены административно-деловые центры, торговые центры, офисные помещения, объекты общественного питания и бытового обслуживания.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налогоплательщиками, применяющими специальные налоговые режимы.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лиц, применяющих специальные налоговые режимы,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2.2.2 Установление единого срока уплаты имущественных налогов физическими лицами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569E">
        <w:rPr>
          <w:rFonts w:ascii="Times New Roman" w:eastAsia="Times New Roman" w:hAnsi="Times New Roman" w:cs="Times New Roman"/>
          <w:sz w:val="26"/>
          <w:szCs w:val="26"/>
        </w:rPr>
        <w:t>В целях удобства осуществления расчетов физическими лицами по имущественным налогам с 1 января 2015 года предусмотрены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единые сроки уплаты физическими лицами транспортного налога и налога на имущество физических лиц – не позднее 1 декабря года, следующего за истекшим налоговым периодом.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2.3 Налогообложение доходов физических лиц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Изменение механизма освобождения от налогообложения доходов физических лиц, полученных от продажи жилых помещений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Предусматривается увеличение до пяти лет минимального предельного срока владения объектом недвижимого имущества, доходы от продажи которого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lastRenderedPageBreak/>
        <w:t>освобождаются от налогообложения. При этом минимальный предельный срок владения таким объектом недвижимого имущества составляет три года, в случае если право собственности на объект недвижимого имущества получено налогоплательщиком одним из следующих способов:</w:t>
      </w:r>
    </w:p>
    <w:p w:rsidR="00435C43" w:rsidRPr="00435C43" w:rsidRDefault="00435C43" w:rsidP="00B74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</w:t>
      </w:r>
      <w:r w:rsidR="007772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Федерации;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результате приватизации;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- в результате передачи имущества по договору пожизненного содержания с иждивением.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Одновременно в целях предотвращения занижения налоговой базы по налогу на доходы физических лиц (НДФЛ) при продаже физическим лицом объекта недвижимого имущества предусматривается исчисление налога с вмененного дохода, рассчитываемого как кадастровая стоимость продаваемого объекта недвижимого имущества по состоянию на 1 января года, в котором осуществлена продажа, умноженная на понижающий коэффициент 0,7, в случае, если доходы налогоплательщика от его продажи ниже этой величины.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коэффициента. </w:t>
      </w:r>
    </w:p>
    <w:p w:rsidR="00435C43" w:rsidRP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имущества, приобретенных в собственность физических лиц после 1 января 2016 г.</w:t>
      </w:r>
    </w:p>
    <w:p w:rsidR="00855602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перспективы.</w:t>
      </w:r>
    </w:p>
    <w:sectPr w:rsidR="00855602" w:rsidRPr="00EC5FEA" w:rsidSect="00745E25">
      <w:footerReference w:type="default" r:id="rId8"/>
      <w:pgSz w:w="11906" w:h="16838"/>
      <w:pgMar w:top="1440" w:right="1077" w:bottom="144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B92" w:rsidRDefault="00371B92" w:rsidP="00EC5FEA">
      <w:pPr>
        <w:spacing w:after="0" w:line="240" w:lineRule="auto"/>
      </w:pPr>
      <w:r>
        <w:separator/>
      </w:r>
    </w:p>
  </w:endnote>
  <w:endnote w:type="continuationSeparator" w:id="0">
    <w:p w:rsidR="00371B92" w:rsidRDefault="00371B92" w:rsidP="00EC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780896"/>
      <w:docPartObj>
        <w:docPartGallery w:val="Page Numbers (Bottom of Page)"/>
        <w:docPartUnique/>
      </w:docPartObj>
    </w:sdtPr>
    <w:sdtEndPr/>
    <w:sdtContent>
      <w:p w:rsidR="00EC5FEA" w:rsidRDefault="00D57D2F">
        <w:pPr>
          <w:pStyle w:val="a7"/>
          <w:jc w:val="center"/>
        </w:pPr>
        <w:r>
          <w:fldChar w:fldCharType="begin"/>
        </w:r>
        <w:r w:rsidR="00EC5FEA">
          <w:instrText>PAGE   \* MERGEFORMAT</w:instrText>
        </w:r>
        <w:r>
          <w:fldChar w:fldCharType="separate"/>
        </w:r>
        <w:r w:rsidR="00745E25">
          <w:rPr>
            <w:noProof/>
          </w:rPr>
          <w:t>2</w:t>
        </w:r>
        <w:r>
          <w:fldChar w:fldCharType="end"/>
        </w:r>
      </w:p>
    </w:sdtContent>
  </w:sdt>
  <w:p w:rsidR="00EC5FEA" w:rsidRDefault="00EC5F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B92" w:rsidRDefault="00371B92" w:rsidP="00EC5FEA">
      <w:pPr>
        <w:spacing w:after="0" w:line="240" w:lineRule="auto"/>
      </w:pPr>
      <w:r>
        <w:separator/>
      </w:r>
    </w:p>
  </w:footnote>
  <w:footnote w:type="continuationSeparator" w:id="0">
    <w:p w:rsidR="00371B92" w:rsidRDefault="00371B92" w:rsidP="00EC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79C"/>
    <w:multiLevelType w:val="multilevel"/>
    <w:tmpl w:val="2670DBD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" w15:restartNumberingAfterBreak="0">
    <w:nsid w:val="26AF30C9"/>
    <w:multiLevelType w:val="multilevel"/>
    <w:tmpl w:val="3C7CC2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2" w15:restartNumberingAfterBreak="0">
    <w:nsid w:val="58AC0059"/>
    <w:multiLevelType w:val="multilevel"/>
    <w:tmpl w:val="0DF6EB46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3" w15:restartNumberingAfterBreak="0">
    <w:nsid w:val="69D30290"/>
    <w:multiLevelType w:val="hybridMultilevel"/>
    <w:tmpl w:val="C0B46E32"/>
    <w:lvl w:ilvl="0" w:tplc="EAEAB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099"/>
    <w:rsid w:val="00062099"/>
    <w:rsid w:val="000E47F5"/>
    <w:rsid w:val="001336DE"/>
    <w:rsid w:val="00180069"/>
    <w:rsid w:val="00243585"/>
    <w:rsid w:val="00255BE4"/>
    <w:rsid w:val="00302EAA"/>
    <w:rsid w:val="003211DA"/>
    <w:rsid w:val="00371B92"/>
    <w:rsid w:val="00383D79"/>
    <w:rsid w:val="0039404E"/>
    <w:rsid w:val="003C10C6"/>
    <w:rsid w:val="00435C43"/>
    <w:rsid w:val="00466ABF"/>
    <w:rsid w:val="0048379D"/>
    <w:rsid w:val="004B6C52"/>
    <w:rsid w:val="006B6662"/>
    <w:rsid w:val="00721E59"/>
    <w:rsid w:val="00745E25"/>
    <w:rsid w:val="00746266"/>
    <w:rsid w:val="00766541"/>
    <w:rsid w:val="00777264"/>
    <w:rsid w:val="007C1EBF"/>
    <w:rsid w:val="00811B05"/>
    <w:rsid w:val="00855602"/>
    <w:rsid w:val="00880DC0"/>
    <w:rsid w:val="008976FE"/>
    <w:rsid w:val="00903CD7"/>
    <w:rsid w:val="00936C58"/>
    <w:rsid w:val="00953A84"/>
    <w:rsid w:val="009C569E"/>
    <w:rsid w:val="009D6372"/>
    <w:rsid w:val="009F1C60"/>
    <w:rsid w:val="00B120E4"/>
    <w:rsid w:val="00B34D0D"/>
    <w:rsid w:val="00B74503"/>
    <w:rsid w:val="00BF6CBA"/>
    <w:rsid w:val="00C15B1A"/>
    <w:rsid w:val="00CE3E4D"/>
    <w:rsid w:val="00D274DF"/>
    <w:rsid w:val="00D43D41"/>
    <w:rsid w:val="00D57D2F"/>
    <w:rsid w:val="00DA766E"/>
    <w:rsid w:val="00E71679"/>
    <w:rsid w:val="00EC1F5A"/>
    <w:rsid w:val="00EC5FEA"/>
    <w:rsid w:val="00EE52C2"/>
    <w:rsid w:val="00F176CF"/>
    <w:rsid w:val="00F17E43"/>
    <w:rsid w:val="00F4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3B98"/>
  <w15:docId w15:val="{0CB17B7F-1246-4215-B6BB-04C13AA8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39</cp:revision>
  <cp:lastPrinted>2020-10-26T06:41:00Z</cp:lastPrinted>
  <dcterms:created xsi:type="dcterms:W3CDTF">2019-10-29T10:40:00Z</dcterms:created>
  <dcterms:modified xsi:type="dcterms:W3CDTF">2020-10-26T06:45:00Z</dcterms:modified>
</cp:coreProperties>
</file>