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5C43" w:rsidRPr="00435C43" w:rsidRDefault="00435C43" w:rsidP="00745E25">
      <w:pPr>
        <w:spacing w:after="200" w:line="240" w:lineRule="auto"/>
        <w:contextualSpacing/>
        <w:jc w:val="center"/>
        <w:rPr>
          <w:rFonts w:ascii="Calibri" w:eastAsia="Times New Roman" w:hAnsi="Calibri" w:cs="Calibri"/>
          <w:noProof/>
          <w:lang w:eastAsia="en-US"/>
        </w:rPr>
      </w:pPr>
      <w:r w:rsidRPr="00435C43">
        <w:rPr>
          <w:rFonts w:ascii="Calibri" w:eastAsia="Times New Roman" w:hAnsi="Calibri" w:cs="Calibri"/>
          <w:noProof/>
        </w:rPr>
        <w:drawing>
          <wp:inline distT="0" distB="0" distL="0" distR="0">
            <wp:extent cx="914400" cy="7848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78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35C43" w:rsidRPr="00435C43" w:rsidRDefault="00435C43" w:rsidP="00435C4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435C43">
        <w:rPr>
          <w:rFonts w:ascii="Times New Roman" w:eastAsia="Times New Roman" w:hAnsi="Times New Roman" w:cs="Times New Roman"/>
          <w:sz w:val="24"/>
          <w:szCs w:val="24"/>
        </w:rPr>
        <w:t>Российская Федерация</w:t>
      </w:r>
    </w:p>
    <w:p w:rsidR="00435C43" w:rsidRPr="00435C43" w:rsidRDefault="00435C43" w:rsidP="00435C4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435C43">
        <w:rPr>
          <w:rFonts w:ascii="Times New Roman" w:eastAsia="Times New Roman" w:hAnsi="Times New Roman" w:cs="Times New Roman"/>
          <w:sz w:val="24"/>
          <w:szCs w:val="24"/>
        </w:rPr>
        <w:t>Самарская область</w:t>
      </w:r>
    </w:p>
    <w:p w:rsidR="006B6662" w:rsidRDefault="00435C43" w:rsidP="006B6662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435C43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АДМИНИСТРАЦИЯ </w:t>
      </w:r>
    </w:p>
    <w:p w:rsidR="00435C43" w:rsidRPr="00435C43" w:rsidRDefault="00435C43" w:rsidP="006B6662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Cs/>
          <w:sz w:val="20"/>
          <w:szCs w:val="20"/>
        </w:rPr>
      </w:pPr>
      <w:r w:rsidRPr="00435C43">
        <w:rPr>
          <w:rFonts w:ascii="Times New Roman" w:eastAsia="Times New Roman" w:hAnsi="Times New Roman" w:cs="Times New Roman"/>
          <w:b/>
          <w:bCs/>
          <w:sz w:val="20"/>
          <w:szCs w:val="20"/>
        </w:rPr>
        <w:t>СЕЛЬСКОГО ПОСЕЛЕНИЯ СЕВРЮКАЕВО</w:t>
      </w:r>
    </w:p>
    <w:p w:rsidR="00435C43" w:rsidRPr="00435C43" w:rsidRDefault="00435C43" w:rsidP="006B6662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435C43">
        <w:rPr>
          <w:rFonts w:ascii="Times New Roman" w:eastAsia="Times New Roman" w:hAnsi="Times New Roman" w:cs="Times New Roman"/>
          <w:b/>
          <w:bCs/>
          <w:sz w:val="20"/>
          <w:szCs w:val="20"/>
        </w:rPr>
        <w:t>МУНИЦИПАЛЬНОГО РАЙОНА СТАВРОПОЛЬСКИЙ</w:t>
      </w:r>
    </w:p>
    <w:p w:rsidR="00435C43" w:rsidRPr="00435C43" w:rsidRDefault="00435C43" w:rsidP="006B6662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435C43">
        <w:rPr>
          <w:rFonts w:ascii="Times New Roman" w:eastAsia="Times New Roman" w:hAnsi="Times New Roman" w:cs="Times New Roman"/>
          <w:b/>
          <w:bCs/>
          <w:sz w:val="20"/>
          <w:szCs w:val="20"/>
        </w:rPr>
        <w:t>САМАРСКОЙ ОБЛАСТИ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435C43" w:rsidRPr="00745E25" w:rsidRDefault="00435C43" w:rsidP="00435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745E25">
        <w:rPr>
          <w:rFonts w:ascii="Times New Roman" w:eastAsia="Times New Roman" w:hAnsi="Times New Roman" w:cs="Times New Roman"/>
          <w:b/>
          <w:sz w:val="28"/>
          <w:szCs w:val="28"/>
        </w:rPr>
        <w:t>ПОСТАНОВЛЕНИЕ</w:t>
      </w:r>
      <w:r w:rsidR="00466ABF" w:rsidRPr="00745E25">
        <w:rPr>
          <w:rFonts w:ascii="Times New Roman" w:eastAsia="Times New Roman" w:hAnsi="Times New Roman" w:cs="Times New Roman"/>
          <w:b/>
          <w:sz w:val="28"/>
          <w:szCs w:val="28"/>
        </w:rPr>
        <w:t xml:space="preserve"> (ПРОЕКТ)</w:t>
      </w:r>
    </w:p>
    <w:p w:rsidR="00435C43" w:rsidRPr="00435C43" w:rsidRDefault="00435C43" w:rsidP="00435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435C43" w:rsidRPr="00435C43" w:rsidRDefault="00745E25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 xml:space="preserve">№____                                                                            </w:t>
      </w:r>
      <w:r w:rsidR="00435C43" w:rsidRPr="00435C43">
        <w:rPr>
          <w:rFonts w:ascii="Times New Roman" w:eastAsia="Times New Roman" w:hAnsi="Times New Roman" w:cs="Times New Roman"/>
          <w:b/>
          <w:sz w:val="26"/>
          <w:szCs w:val="26"/>
        </w:rPr>
        <w:t xml:space="preserve">от </w:t>
      </w:r>
      <w:r w:rsidR="00721E59">
        <w:rPr>
          <w:rFonts w:ascii="Times New Roman" w:eastAsia="Times New Roman" w:hAnsi="Times New Roman" w:cs="Times New Roman"/>
          <w:b/>
          <w:sz w:val="26"/>
          <w:szCs w:val="26"/>
        </w:rPr>
        <w:t xml:space="preserve">«__» ___________ </w:t>
      </w:r>
      <w:r w:rsidR="00435C43" w:rsidRPr="00435C43">
        <w:rPr>
          <w:rFonts w:ascii="Times New Roman" w:eastAsia="Times New Roman" w:hAnsi="Times New Roman" w:cs="Times New Roman"/>
          <w:b/>
          <w:sz w:val="26"/>
          <w:szCs w:val="26"/>
        </w:rPr>
        <w:t>20</w:t>
      </w:r>
      <w:r w:rsidR="00721E59">
        <w:rPr>
          <w:rFonts w:ascii="Times New Roman" w:eastAsia="Times New Roman" w:hAnsi="Times New Roman" w:cs="Times New Roman"/>
          <w:b/>
          <w:sz w:val="26"/>
          <w:szCs w:val="26"/>
        </w:rPr>
        <w:t>20</w:t>
      </w:r>
      <w:r w:rsidR="00435C43" w:rsidRPr="00435C43">
        <w:rPr>
          <w:rFonts w:ascii="Times New Roman" w:eastAsia="Times New Roman" w:hAnsi="Times New Roman" w:cs="Times New Roman"/>
          <w:b/>
          <w:sz w:val="26"/>
          <w:szCs w:val="26"/>
        </w:rPr>
        <w:t xml:space="preserve"> года                                                   </w:t>
      </w:r>
      <w:r>
        <w:rPr>
          <w:rFonts w:ascii="Times New Roman" w:eastAsia="Times New Roman" w:hAnsi="Times New Roman" w:cs="Times New Roman"/>
          <w:b/>
          <w:sz w:val="26"/>
          <w:szCs w:val="26"/>
        </w:rPr>
        <w:t xml:space="preserve">                              </w:t>
      </w:r>
    </w:p>
    <w:p w:rsidR="00435C43" w:rsidRPr="00435C43" w:rsidRDefault="00435C43" w:rsidP="00435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435C43" w:rsidRPr="00435C43" w:rsidRDefault="00435C43" w:rsidP="00721E5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Об основных направлениях бюджетной и налоговой политики</w:t>
      </w:r>
    </w:p>
    <w:p w:rsidR="00435C43" w:rsidRPr="00435C43" w:rsidRDefault="00435C43" w:rsidP="00435C4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в 202</w:t>
      </w:r>
      <w:r w:rsidR="00721E59">
        <w:rPr>
          <w:rFonts w:ascii="Times New Roman" w:eastAsia="Times New Roman" w:hAnsi="Times New Roman" w:cs="Times New Roman"/>
          <w:b/>
          <w:sz w:val="26"/>
          <w:szCs w:val="26"/>
        </w:rPr>
        <w:t>1</w:t>
      </w: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-202</w:t>
      </w:r>
      <w:r w:rsidR="00721E59">
        <w:rPr>
          <w:rFonts w:ascii="Times New Roman" w:eastAsia="Times New Roman" w:hAnsi="Times New Roman" w:cs="Times New Roman"/>
          <w:b/>
          <w:sz w:val="26"/>
          <w:szCs w:val="26"/>
        </w:rPr>
        <w:t>3</w:t>
      </w: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 xml:space="preserve"> годах</w:t>
      </w:r>
      <w:bookmarkStart w:id="0" w:name="_GoBack"/>
      <w:bookmarkEnd w:id="0"/>
    </w:p>
    <w:p w:rsidR="00435C43" w:rsidRPr="00435C43" w:rsidRDefault="00435C43" w:rsidP="00435C43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435C43" w:rsidRPr="00435C43" w:rsidRDefault="00435C43" w:rsidP="00435C43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В целях укрепления налогового потенциала бюджета сельского поселения Севрюкаево муниципального района Ставропольский Самарской области, установления основных приоритетов  бюджетных расходов, руководствуясь Положением о бюджетном процессе в сельском поселении Севрюкаево муниципального района Ставропольский Самарской области, утвержденного </w:t>
      </w:r>
      <w:r w:rsidRPr="001336DE">
        <w:rPr>
          <w:rFonts w:ascii="Times New Roman" w:eastAsia="Times New Roman" w:hAnsi="Times New Roman" w:cs="Times New Roman"/>
          <w:sz w:val="26"/>
          <w:szCs w:val="26"/>
        </w:rPr>
        <w:t>Решением Собрания</w:t>
      </w:r>
      <w:r w:rsidR="004B6C52" w:rsidRPr="001336DE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D274DF">
        <w:rPr>
          <w:rFonts w:ascii="Times New Roman" w:eastAsia="Times New Roman" w:hAnsi="Times New Roman" w:cs="Times New Roman"/>
          <w:sz w:val="26"/>
          <w:szCs w:val="26"/>
        </w:rPr>
        <w:t>Представителей от 0</w:t>
      </w:r>
      <w:r w:rsidR="0039404E" w:rsidRPr="00D274DF">
        <w:rPr>
          <w:rFonts w:ascii="Times New Roman" w:eastAsia="Times New Roman" w:hAnsi="Times New Roman" w:cs="Times New Roman"/>
          <w:sz w:val="26"/>
          <w:szCs w:val="26"/>
        </w:rPr>
        <w:t>2</w:t>
      </w:r>
      <w:r w:rsidRPr="00D274DF">
        <w:rPr>
          <w:rFonts w:ascii="Times New Roman" w:eastAsia="Times New Roman" w:hAnsi="Times New Roman" w:cs="Times New Roman"/>
          <w:sz w:val="26"/>
          <w:szCs w:val="26"/>
        </w:rPr>
        <w:t>.0</w:t>
      </w:r>
      <w:r w:rsidR="0039404E" w:rsidRPr="00D274DF">
        <w:rPr>
          <w:rFonts w:ascii="Times New Roman" w:eastAsia="Times New Roman" w:hAnsi="Times New Roman" w:cs="Times New Roman"/>
          <w:sz w:val="26"/>
          <w:szCs w:val="26"/>
        </w:rPr>
        <w:t>6</w:t>
      </w:r>
      <w:r w:rsidRPr="00D274DF">
        <w:rPr>
          <w:rFonts w:ascii="Times New Roman" w:eastAsia="Times New Roman" w:hAnsi="Times New Roman" w:cs="Times New Roman"/>
          <w:sz w:val="26"/>
          <w:szCs w:val="26"/>
        </w:rPr>
        <w:t>.20</w:t>
      </w:r>
      <w:r w:rsidR="0039404E" w:rsidRPr="00D274DF">
        <w:rPr>
          <w:rFonts w:ascii="Times New Roman" w:eastAsia="Times New Roman" w:hAnsi="Times New Roman" w:cs="Times New Roman"/>
          <w:sz w:val="26"/>
          <w:szCs w:val="26"/>
        </w:rPr>
        <w:t>17</w:t>
      </w:r>
      <w:r w:rsidR="00255BE4" w:rsidRPr="00D274D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D274DF">
        <w:rPr>
          <w:rFonts w:ascii="Times New Roman" w:eastAsia="Times New Roman" w:hAnsi="Times New Roman" w:cs="Times New Roman"/>
          <w:sz w:val="26"/>
          <w:szCs w:val="26"/>
        </w:rPr>
        <w:t>г.  №</w:t>
      </w:r>
      <w:r w:rsidR="00936C5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39404E" w:rsidRPr="00D274DF">
        <w:rPr>
          <w:rFonts w:ascii="Times New Roman" w:eastAsia="Times New Roman" w:hAnsi="Times New Roman" w:cs="Times New Roman"/>
          <w:sz w:val="26"/>
          <w:szCs w:val="26"/>
        </w:rPr>
        <w:t>20</w:t>
      </w:r>
      <w:r w:rsidR="00880DC0" w:rsidRPr="00D274D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D274DF">
        <w:rPr>
          <w:rFonts w:ascii="Times New Roman" w:eastAsia="Times New Roman" w:hAnsi="Times New Roman" w:cs="Times New Roman"/>
          <w:sz w:val="26"/>
          <w:szCs w:val="26"/>
        </w:rPr>
        <w:t>администрация сельского поселения Севрюкаево муниципального</w:t>
      </w:r>
      <w:r w:rsidRPr="001336DE">
        <w:rPr>
          <w:rFonts w:ascii="Times New Roman" w:eastAsia="Times New Roman" w:hAnsi="Times New Roman" w:cs="Times New Roman"/>
          <w:sz w:val="26"/>
          <w:szCs w:val="26"/>
        </w:rPr>
        <w:t xml:space="preserve"> района Ставропольский Самарской области</w:t>
      </w:r>
    </w:p>
    <w:p w:rsidR="001336DE" w:rsidRDefault="001336DE" w:rsidP="00435C43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435C43" w:rsidRPr="00435C43" w:rsidRDefault="00435C43" w:rsidP="00435C43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ПОСТАНОВЛЯЕТ:</w:t>
      </w:r>
    </w:p>
    <w:p w:rsidR="00F414C8" w:rsidRPr="00B120E4" w:rsidRDefault="00435C43" w:rsidP="00745E25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1.</w:t>
      </w:r>
      <w:r w:rsidR="00745E25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B120E4">
        <w:rPr>
          <w:rFonts w:ascii="Times New Roman" w:eastAsia="Times New Roman" w:hAnsi="Times New Roman" w:cs="Times New Roman"/>
          <w:sz w:val="26"/>
          <w:szCs w:val="26"/>
        </w:rPr>
        <w:t>Утвердить основные направления бюджетной и налоговой политики в сельском поселении Севрюкаево муниципального района Ставропольский Самарской области на 202</w:t>
      </w:r>
      <w:r w:rsidR="00180069" w:rsidRPr="00B120E4">
        <w:rPr>
          <w:rFonts w:ascii="Times New Roman" w:eastAsia="Times New Roman" w:hAnsi="Times New Roman" w:cs="Times New Roman"/>
          <w:sz w:val="26"/>
          <w:szCs w:val="26"/>
        </w:rPr>
        <w:t>1</w:t>
      </w:r>
      <w:r w:rsidR="006B6662" w:rsidRPr="00B120E4">
        <w:rPr>
          <w:rFonts w:ascii="Times New Roman" w:eastAsia="Times New Roman" w:hAnsi="Times New Roman" w:cs="Times New Roman"/>
          <w:sz w:val="26"/>
          <w:szCs w:val="26"/>
        </w:rPr>
        <w:t>-202</w:t>
      </w:r>
      <w:r w:rsidR="00180069" w:rsidRPr="00B120E4">
        <w:rPr>
          <w:rFonts w:ascii="Times New Roman" w:eastAsia="Times New Roman" w:hAnsi="Times New Roman" w:cs="Times New Roman"/>
          <w:sz w:val="26"/>
          <w:szCs w:val="26"/>
        </w:rPr>
        <w:t>3</w:t>
      </w:r>
      <w:r w:rsidR="006B6662" w:rsidRPr="00B120E4">
        <w:rPr>
          <w:rFonts w:ascii="Times New Roman" w:eastAsia="Times New Roman" w:hAnsi="Times New Roman" w:cs="Times New Roman"/>
          <w:sz w:val="26"/>
          <w:szCs w:val="26"/>
        </w:rPr>
        <w:t xml:space="preserve"> годы, </w:t>
      </w:r>
      <w:r w:rsidR="006B6662" w:rsidRPr="00CE3E4D">
        <w:rPr>
          <w:rFonts w:ascii="Times New Roman" w:eastAsia="Times New Roman" w:hAnsi="Times New Roman" w:cs="Times New Roman"/>
          <w:sz w:val="26"/>
          <w:szCs w:val="26"/>
        </w:rPr>
        <w:t>согласно Приложения №</w:t>
      </w:r>
      <w:r w:rsidR="00CE3E4D" w:rsidRPr="00CE3E4D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6B6662" w:rsidRPr="00CE3E4D">
        <w:rPr>
          <w:rFonts w:ascii="Times New Roman" w:eastAsia="Times New Roman" w:hAnsi="Times New Roman" w:cs="Times New Roman"/>
          <w:sz w:val="26"/>
          <w:szCs w:val="26"/>
        </w:rPr>
        <w:t>1</w:t>
      </w:r>
      <w:r w:rsidR="00CE3E4D" w:rsidRPr="00CE3E4D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B120E4" w:rsidRPr="00B120E4" w:rsidRDefault="00F414C8" w:rsidP="00745E25">
      <w:pPr>
        <w:pStyle w:val="a9"/>
        <w:spacing w:before="0" w:beforeAutospacing="0" w:after="0" w:afterAutospacing="0"/>
        <w:jc w:val="both"/>
        <w:textAlignment w:val="baseline"/>
        <w:rPr>
          <w:rStyle w:val="FontStyle38"/>
          <w:bCs/>
          <w:sz w:val="26"/>
          <w:szCs w:val="26"/>
          <w:bdr w:val="none" w:sz="0" w:space="0" w:color="auto" w:frame="1"/>
        </w:rPr>
      </w:pPr>
      <w:r>
        <w:rPr>
          <w:sz w:val="26"/>
          <w:szCs w:val="26"/>
        </w:rPr>
        <w:t xml:space="preserve">      </w:t>
      </w:r>
      <w:r w:rsidR="00435C43" w:rsidRPr="00B120E4">
        <w:rPr>
          <w:sz w:val="26"/>
          <w:szCs w:val="26"/>
        </w:rPr>
        <w:t xml:space="preserve">2. </w:t>
      </w:r>
      <w:r w:rsidR="00B120E4" w:rsidRPr="00B120E4">
        <w:rPr>
          <w:rStyle w:val="FontStyle38"/>
          <w:sz w:val="26"/>
          <w:szCs w:val="26"/>
        </w:rPr>
        <w:t>Контроль за выполнением настоящего постановления оставляю за собой.</w:t>
      </w:r>
    </w:p>
    <w:p w:rsidR="00435C43" w:rsidRPr="00B120E4" w:rsidRDefault="00745E25" w:rsidP="00745E25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t xml:space="preserve">      </w:t>
      </w:r>
      <w:r w:rsidR="00435C43" w:rsidRPr="00B120E4">
        <w:rPr>
          <w:rFonts w:ascii="Times New Roman" w:eastAsia="Times New Roman" w:hAnsi="Times New Roman" w:cs="Times New Roman"/>
          <w:sz w:val="26"/>
          <w:szCs w:val="26"/>
        </w:rPr>
        <w:t>3. Настоящее Постановление вступает в силу с 1 января 202</w:t>
      </w:r>
      <w:r w:rsidR="00953A84" w:rsidRPr="00B120E4">
        <w:rPr>
          <w:rFonts w:ascii="Times New Roman" w:eastAsia="Times New Roman" w:hAnsi="Times New Roman" w:cs="Times New Roman"/>
          <w:sz w:val="26"/>
          <w:szCs w:val="26"/>
        </w:rPr>
        <w:t>1</w:t>
      </w:r>
      <w:r w:rsidR="00435C43" w:rsidRPr="00B120E4">
        <w:rPr>
          <w:rFonts w:ascii="Times New Roman" w:eastAsia="Times New Roman" w:hAnsi="Times New Roman" w:cs="Times New Roman"/>
          <w:sz w:val="26"/>
          <w:szCs w:val="26"/>
        </w:rPr>
        <w:t xml:space="preserve"> года и действует до 31 </w:t>
      </w:r>
      <w:r w:rsidR="00435C43" w:rsidRPr="00302EAA">
        <w:rPr>
          <w:rFonts w:ascii="Times New Roman" w:eastAsia="Times New Roman" w:hAnsi="Times New Roman" w:cs="Times New Roman"/>
          <w:sz w:val="26"/>
          <w:szCs w:val="26"/>
        </w:rPr>
        <w:t>декабря 202</w:t>
      </w:r>
      <w:r w:rsidR="00953A84" w:rsidRPr="00302EAA">
        <w:rPr>
          <w:rFonts w:ascii="Times New Roman" w:eastAsia="Times New Roman" w:hAnsi="Times New Roman" w:cs="Times New Roman"/>
          <w:sz w:val="26"/>
          <w:szCs w:val="26"/>
        </w:rPr>
        <w:t>3</w:t>
      </w:r>
      <w:r w:rsidR="00435C43" w:rsidRPr="00302EAA">
        <w:rPr>
          <w:rFonts w:ascii="Times New Roman" w:eastAsia="Times New Roman" w:hAnsi="Times New Roman" w:cs="Times New Roman"/>
          <w:sz w:val="26"/>
          <w:szCs w:val="26"/>
        </w:rPr>
        <w:t xml:space="preserve"> года, а также с </w:t>
      </w:r>
      <w:r w:rsidR="001336DE" w:rsidRPr="00302EAA">
        <w:rPr>
          <w:rFonts w:ascii="Times New Roman" w:eastAsia="Times New Roman" w:hAnsi="Times New Roman" w:cs="Times New Roman"/>
          <w:sz w:val="26"/>
          <w:szCs w:val="26"/>
        </w:rPr>
        <w:t>0</w:t>
      </w:r>
      <w:r w:rsidR="00435C43" w:rsidRPr="00302EAA">
        <w:rPr>
          <w:rFonts w:ascii="Times New Roman" w:eastAsia="Times New Roman" w:hAnsi="Times New Roman" w:cs="Times New Roman"/>
          <w:sz w:val="26"/>
          <w:szCs w:val="26"/>
        </w:rPr>
        <w:t>1 января 202</w:t>
      </w:r>
      <w:r w:rsidR="00953A84" w:rsidRPr="00302EAA">
        <w:rPr>
          <w:rFonts w:ascii="Times New Roman" w:eastAsia="Times New Roman" w:hAnsi="Times New Roman" w:cs="Times New Roman"/>
          <w:sz w:val="26"/>
          <w:szCs w:val="26"/>
        </w:rPr>
        <w:t>1</w:t>
      </w:r>
      <w:r w:rsidR="00435C43" w:rsidRPr="00302EAA">
        <w:rPr>
          <w:rFonts w:ascii="Times New Roman" w:eastAsia="Times New Roman" w:hAnsi="Times New Roman" w:cs="Times New Roman"/>
          <w:sz w:val="26"/>
          <w:szCs w:val="26"/>
        </w:rPr>
        <w:t xml:space="preserve"> года отменяет действия Постановления «Об основных направлениях бюджетной и налоговой политики в 20</w:t>
      </w:r>
      <w:r w:rsidR="009C569E" w:rsidRPr="00302EAA">
        <w:rPr>
          <w:rFonts w:ascii="Times New Roman" w:eastAsia="Times New Roman" w:hAnsi="Times New Roman" w:cs="Times New Roman"/>
          <w:sz w:val="26"/>
          <w:szCs w:val="26"/>
        </w:rPr>
        <w:t>20</w:t>
      </w:r>
      <w:r w:rsidR="00435C43" w:rsidRPr="00302EAA">
        <w:rPr>
          <w:rFonts w:ascii="Times New Roman" w:eastAsia="Times New Roman" w:hAnsi="Times New Roman" w:cs="Times New Roman"/>
          <w:sz w:val="26"/>
          <w:szCs w:val="26"/>
        </w:rPr>
        <w:t>-202</w:t>
      </w:r>
      <w:r w:rsidR="009C569E" w:rsidRPr="00302EAA">
        <w:rPr>
          <w:rFonts w:ascii="Times New Roman" w:eastAsia="Times New Roman" w:hAnsi="Times New Roman" w:cs="Times New Roman"/>
          <w:sz w:val="26"/>
          <w:szCs w:val="26"/>
        </w:rPr>
        <w:t>2</w:t>
      </w:r>
      <w:r w:rsidR="00435C43" w:rsidRPr="00302EAA">
        <w:rPr>
          <w:rFonts w:ascii="Times New Roman" w:eastAsia="Times New Roman" w:hAnsi="Times New Roman" w:cs="Times New Roman"/>
          <w:sz w:val="26"/>
          <w:szCs w:val="26"/>
        </w:rPr>
        <w:t xml:space="preserve"> годах</w:t>
      </w:r>
      <w:r w:rsidR="00302EAA" w:rsidRPr="00302EAA">
        <w:rPr>
          <w:rFonts w:ascii="Times New Roman" w:eastAsia="Times New Roman" w:hAnsi="Times New Roman" w:cs="Times New Roman"/>
          <w:sz w:val="26"/>
          <w:szCs w:val="26"/>
        </w:rPr>
        <w:t xml:space="preserve">» от </w:t>
      </w:r>
      <w:r w:rsidR="00435C43" w:rsidRPr="00302EAA">
        <w:rPr>
          <w:rFonts w:ascii="Times New Roman" w:eastAsia="Times New Roman" w:hAnsi="Times New Roman" w:cs="Times New Roman"/>
          <w:sz w:val="26"/>
          <w:szCs w:val="26"/>
        </w:rPr>
        <w:t>3</w:t>
      </w:r>
      <w:r w:rsidR="00302EAA" w:rsidRPr="00302EAA">
        <w:rPr>
          <w:rFonts w:ascii="Times New Roman" w:eastAsia="Times New Roman" w:hAnsi="Times New Roman" w:cs="Times New Roman"/>
          <w:sz w:val="26"/>
          <w:szCs w:val="26"/>
        </w:rPr>
        <w:t>0.10</w:t>
      </w:r>
      <w:r w:rsidR="00435C43" w:rsidRPr="00302EAA">
        <w:rPr>
          <w:rFonts w:ascii="Times New Roman" w:eastAsia="Times New Roman" w:hAnsi="Times New Roman" w:cs="Times New Roman"/>
          <w:sz w:val="26"/>
          <w:szCs w:val="26"/>
        </w:rPr>
        <w:t xml:space="preserve">.2019 года № </w:t>
      </w:r>
      <w:r w:rsidR="00302EAA" w:rsidRPr="00302EAA">
        <w:rPr>
          <w:rFonts w:ascii="Times New Roman" w:eastAsia="Times New Roman" w:hAnsi="Times New Roman" w:cs="Times New Roman"/>
          <w:sz w:val="26"/>
          <w:szCs w:val="26"/>
        </w:rPr>
        <w:t>39</w:t>
      </w:r>
      <w:r w:rsidR="00435C43" w:rsidRPr="00302EAA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435C43" w:rsidRPr="00435C43" w:rsidRDefault="00435C43" w:rsidP="00745E2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120E4">
        <w:rPr>
          <w:rFonts w:ascii="Times New Roman" w:eastAsia="Times New Roman" w:hAnsi="Times New Roman" w:cs="Times New Roman"/>
          <w:sz w:val="26"/>
          <w:szCs w:val="26"/>
        </w:rPr>
        <w:t>4</w:t>
      </w:r>
      <w:r w:rsidRPr="00EC1F5A">
        <w:rPr>
          <w:rFonts w:ascii="Times New Roman" w:eastAsia="Times New Roman" w:hAnsi="Times New Roman" w:cs="Times New Roman"/>
          <w:sz w:val="26"/>
          <w:szCs w:val="26"/>
        </w:rPr>
        <w:t xml:space="preserve">.  </w:t>
      </w:r>
      <w:r w:rsidRPr="00EC1F5A">
        <w:rPr>
          <w:rFonts w:ascii="Times New Roman" w:eastAsia="Times New Roman" w:hAnsi="Times New Roman" w:cs="Times New Roman"/>
          <w:sz w:val="26"/>
          <w:szCs w:val="26"/>
          <w:lang w:eastAsia="hi-IN"/>
        </w:rPr>
        <w:t>Настоящее постановление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http://sevrukaevo.stavrsp</w:t>
      </w:r>
      <w:r w:rsidRPr="00EC1F5A">
        <w:rPr>
          <w:rFonts w:ascii="Times New Roman" w:eastAsia="Times New Roman" w:hAnsi="Times New Roman" w:cs="Times New Roman"/>
          <w:sz w:val="28"/>
          <w:szCs w:val="28"/>
          <w:lang w:eastAsia="hi-IN"/>
        </w:rPr>
        <w:t>.ru</w:t>
      </w:r>
    </w:p>
    <w:p w:rsidR="00435C43" w:rsidRPr="00435C43" w:rsidRDefault="00435C43" w:rsidP="00435C43">
      <w:pPr>
        <w:keepNext/>
        <w:spacing w:after="0" w:line="240" w:lineRule="auto"/>
        <w:ind w:firstLine="709"/>
        <w:jc w:val="center"/>
        <w:outlineLvl w:val="1"/>
        <w:rPr>
          <w:rFonts w:ascii="Cambria" w:eastAsia="Times New Roman" w:hAnsi="Cambria" w:cs="Times New Roman"/>
          <w:b/>
          <w:bCs/>
          <w:i/>
          <w:iCs/>
          <w:sz w:val="26"/>
          <w:szCs w:val="26"/>
        </w:rPr>
      </w:pPr>
    </w:p>
    <w:p w:rsidR="00435C43" w:rsidRPr="00435C43" w:rsidRDefault="00435C43" w:rsidP="00435C43">
      <w:pPr>
        <w:keepNext/>
        <w:spacing w:after="0" w:line="240" w:lineRule="auto"/>
        <w:ind w:firstLine="709"/>
        <w:jc w:val="center"/>
        <w:outlineLvl w:val="1"/>
        <w:rPr>
          <w:rFonts w:ascii="Cambria" w:eastAsia="Times New Roman" w:hAnsi="Cambria" w:cs="Times New Roman"/>
          <w:b/>
          <w:bCs/>
          <w:i/>
          <w:iCs/>
          <w:sz w:val="26"/>
          <w:szCs w:val="26"/>
        </w:rPr>
      </w:pPr>
    </w:p>
    <w:p w:rsidR="00435C43" w:rsidRPr="00435C43" w:rsidRDefault="00435C43" w:rsidP="00435C43">
      <w:pPr>
        <w:keepNext/>
        <w:spacing w:after="0" w:line="240" w:lineRule="auto"/>
        <w:outlineLvl w:val="1"/>
        <w:rPr>
          <w:rFonts w:ascii="Times New Roman" w:eastAsia="Times New Roman" w:hAnsi="Times New Roman" w:cs="Times New Roman"/>
          <w:bCs/>
          <w:iCs/>
          <w:sz w:val="28"/>
          <w:szCs w:val="28"/>
        </w:rPr>
      </w:pPr>
      <w:r w:rsidRPr="00435C43">
        <w:rPr>
          <w:rFonts w:ascii="Times New Roman" w:eastAsia="Times New Roman" w:hAnsi="Times New Roman" w:cs="Times New Roman"/>
          <w:bCs/>
          <w:iCs/>
          <w:sz w:val="28"/>
          <w:szCs w:val="28"/>
        </w:rPr>
        <w:t>Глава сельского поселения Севрюкае</w:t>
      </w:r>
      <w:r w:rsidR="00745E25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во        _____________ </w:t>
      </w:r>
      <w:r w:rsidRPr="00435C43">
        <w:rPr>
          <w:rFonts w:ascii="Times New Roman" w:eastAsia="Times New Roman" w:hAnsi="Times New Roman" w:cs="Times New Roman"/>
          <w:bCs/>
          <w:iCs/>
          <w:sz w:val="28"/>
          <w:szCs w:val="28"/>
        </w:rPr>
        <w:t>Н.Н. Алембатров</w:t>
      </w:r>
    </w:p>
    <w:p w:rsidR="00746266" w:rsidRDefault="00746266" w:rsidP="00745E2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45E25" w:rsidRDefault="00745E25" w:rsidP="00745E25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</w:rPr>
      </w:pPr>
    </w:p>
    <w:p w:rsidR="00435C43" w:rsidRPr="00745E25" w:rsidRDefault="00435C43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</w:rPr>
      </w:pPr>
      <w:r w:rsidRPr="00745E25">
        <w:rPr>
          <w:rFonts w:ascii="Times New Roman" w:eastAsia="Times New Roman" w:hAnsi="Times New Roman" w:cs="Times New Roman"/>
        </w:rPr>
        <w:lastRenderedPageBreak/>
        <w:t>Приложение</w:t>
      </w:r>
      <w:r w:rsidR="006B6662" w:rsidRPr="00745E25">
        <w:rPr>
          <w:rFonts w:ascii="Times New Roman" w:eastAsia="Times New Roman" w:hAnsi="Times New Roman" w:cs="Times New Roman"/>
        </w:rPr>
        <w:t xml:space="preserve"> №</w:t>
      </w:r>
      <w:r w:rsidR="00CE3E4D" w:rsidRPr="00745E25">
        <w:rPr>
          <w:rFonts w:ascii="Times New Roman" w:eastAsia="Times New Roman" w:hAnsi="Times New Roman" w:cs="Times New Roman"/>
        </w:rPr>
        <w:t xml:space="preserve"> </w:t>
      </w:r>
      <w:r w:rsidR="006B6662" w:rsidRPr="00745E25">
        <w:rPr>
          <w:rFonts w:ascii="Times New Roman" w:eastAsia="Times New Roman" w:hAnsi="Times New Roman" w:cs="Times New Roman"/>
        </w:rPr>
        <w:t>1</w:t>
      </w:r>
    </w:p>
    <w:p w:rsidR="00435C43" w:rsidRPr="00745E25" w:rsidRDefault="00435C43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</w:rPr>
      </w:pPr>
      <w:r w:rsidRPr="00745E25">
        <w:rPr>
          <w:rFonts w:ascii="Times New Roman" w:eastAsia="Times New Roman" w:hAnsi="Times New Roman" w:cs="Times New Roman"/>
        </w:rPr>
        <w:t>к  Постановлению администрации</w:t>
      </w:r>
    </w:p>
    <w:p w:rsidR="00435C43" w:rsidRPr="00745E25" w:rsidRDefault="00435C43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</w:rPr>
      </w:pPr>
      <w:r w:rsidRPr="00745E25">
        <w:rPr>
          <w:rFonts w:ascii="Times New Roman" w:eastAsia="Times New Roman" w:hAnsi="Times New Roman" w:cs="Times New Roman"/>
        </w:rPr>
        <w:t xml:space="preserve"> сельского поселения Севрюкаево</w:t>
      </w:r>
    </w:p>
    <w:p w:rsidR="00435C43" w:rsidRPr="00745E25" w:rsidRDefault="00435C43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</w:rPr>
      </w:pPr>
      <w:r w:rsidRPr="00745E25">
        <w:rPr>
          <w:rFonts w:ascii="Times New Roman" w:eastAsia="Times New Roman" w:hAnsi="Times New Roman" w:cs="Times New Roman"/>
        </w:rPr>
        <w:t xml:space="preserve"> муниципального района Ставропольский</w:t>
      </w:r>
    </w:p>
    <w:p w:rsidR="00435C43" w:rsidRPr="00745E25" w:rsidRDefault="00435C43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</w:rPr>
      </w:pPr>
      <w:r w:rsidRPr="00745E25">
        <w:rPr>
          <w:rFonts w:ascii="Times New Roman" w:eastAsia="Times New Roman" w:hAnsi="Times New Roman" w:cs="Times New Roman"/>
        </w:rPr>
        <w:t xml:space="preserve"> Самарской области</w:t>
      </w:r>
    </w:p>
    <w:p w:rsidR="00435C43" w:rsidRPr="00745E25" w:rsidRDefault="00DA766E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</w:rPr>
      </w:pPr>
      <w:r w:rsidRPr="00745E25">
        <w:rPr>
          <w:rFonts w:ascii="Times New Roman" w:eastAsia="Times New Roman" w:hAnsi="Times New Roman" w:cs="Times New Roman"/>
        </w:rPr>
        <w:t>о</w:t>
      </w:r>
      <w:r w:rsidR="00435C43" w:rsidRPr="00745E25">
        <w:rPr>
          <w:rFonts w:ascii="Times New Roman" w:eastAsia="Times New Roman" w:hAnsi="Times New Roman" w:cs="Times New Roman"/>
        </w:rPr>
        <w:t xml:space="preserve">т </w:t>
      </w:r>
      <w:r w:rsidRPr="00745E25">
        <w:rPr>
          <w:rFonts w:ascii="Times New Roman" w:eastAsia="Times New Roman" w:hAnsi="Times New Roman" w:cs="Times New Roman"/>
        </w:rPr>
        <w:t>«__» ______</w:t>
      </w:r>
      <w:r w:rsidR="00435C43" w:rsidRPr="00745E25">
        <w:rPr>
          <w:rFonts w:ascii="Times New Roman" w:eastAsia="Times New Roman" w:hAnsi="Times New Roman" w:cs="Times New Roman"/>
        </w:rPr>
        <w:t>20</w:t>
      </w:r>
      <w:r w:rsidRPr="00745E25">
        <w:rPr>
          <w:rFonts w:ascii="Times New Roman" w:eastAsia="Times New Roman" w:hAnsi="Times New Roman" w:cs="Times New Roman"/>
        </w:rPr>
        <w:t>20</w:t>
      </w:r>
      <w:r w:rsidR="00435C43" w:rsidRPr="00745E25">
        <w:rPr>
          <w:rFonts w:ascii="Times New Roman" w:eastAsia="Times New Roman" w:hAnsi="Times New Roman" w:cs="Times New Roman"/>
        </w:rPr>
        <w:t xml:space="preserve"> г. № </w:t>
      </w:r>
      <w:r w:rsidRPr="00745E25">
        <w:rPr>
          <w:rFonts w:ascii="Times New Roman" w:eastAsia="Times New Roman" w:hAnsi="Times New Roman" w:cs="Times New Roman"/>
        </w:rPr>
        <w:t>___</w:t>
      </w:r>
    </w:p>
    <w:p w:rsidR="00435C43" w:rsidRPr="00435C43" w:rsidRDefault="00435C43" w:rsidP="00435C43">
      <w:pPr>
        <w:spacing w:after="0" w:line="240" w:lineRule="auto"/>
        <w:ind w:firstLine="5387"/>
        <w:rPr>
          <w:rFonts w:ascii="Times New Roman" w:eastAsia="Times New Roman" w:hAnsi="Times New Roman" w:cs="Times New Roman"/>
          <w:sz w:val="26"/>
          <w:szCs w:val="26"/>
        </w:rPr>
      </w:pPr>
    </w:p>
    <w:p w:rsidR="00435C43" w:rsidRPr="00435C43" w:rsidRDefault="00435C43" w:rsidP="00435C43">
      <w:pPr>
        <w:numPr>
          <w:ilvl w:val="0"/>
          <w:numId w:val="1"/>
        </w:num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Основные направления бюджетной и налоговой политики  </w:t>
      </w:r>
    </w:p>
    <w:p w:rsidR="00435C43" w:rsidRPr="00435C43" w:rsidRDefault="00435C43" w:rsidP="00435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>в сельском поселении Севрюкаево муниципального района Ставропольский                 Самарской области   на 202</w:t>
      </w:r>
      <w:r w:rsidR="00F17E43">
        <w:rPr>
          <w:rFonts w:ascii="Times New Roman" w:eastAsia="Times New Roman" w:hAnsi="Times New Roman" w:cs="Times New Roman"/>
          <w:b/>
          <w:bCs/>
          <w:sz w:val="26"/>
          <w:szCs w:val="26"/>
        </w:rPr>
        <w:t>1</w:t>
      </w:r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>-202</w:t>
      </w:r>
      <w:r w:rsidR="00F17E43">
        <w:rPr>
          <w:rFonts w:ascii="Times New Roman" w:eastAsia="Times New Roman" w:hAnsi="Times New Roman" w:cs="Times New Roman"/>
          <w:b/>
          <w:bCs/>
          <w:sz w:val="26"/>
          <w:szCs w:val="26"/>
        </w:rPr>
        <w:t>3</w:t>
      </w:r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годы.</w:t>
      </w:r>
    </w:p>
    <w:p w:rsidR="00435C43" w:rsidRPr="00435C43" w:rsidRDefault="00435C43" w:rsidP="00435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</w:rPr>
      </w:pPr>
    </w:p>
    <w:p w:rsidR="00435C43" w:rsidRPr="00435C43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Основные направления бюджетной политики на 202</w:t>
      </w:r>
      <w:r w:rsidR="00BF6CBA">
        <w:rPr>
          <w:rFonts w:ascii="Times New Roman" w:eastAsia="Times New Roman" w:hAnsi="Times New Roman" w:cs="Times New Roman"/>
          <w:sz w:val="26"/>
          <w:szCs w:val="26"/>
        </w:rPr>
        <w:t>1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год и на плановый период 202</w:t>
      </w:r>
      <w:r w:rsidR="00BF6CBA">
        <w:rPr>
          <w:rFonts w:ascii="Times New Roman" w:eastAsia="Times New Roman" w:hAnsi="Times New Roman" w:cs="Times New Roman"/>
          <w:sz w:val="26"/>
          <w:szCs w:val="26"/>
        </w:rPr>
        <w:t>2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и 202</w:t>
      </w:r>
      <w:r w:rsidR="00BF6CBA">
        <w:rPr>
          <w:rFonts w:ascii="Times New Roman" w:eastAsia="Times New Roman" w:hAnsi="Times New Roman" w:cs="Times New Roman"/>
          <w:sz w:val="26"/>
          <w:szCs w:val="26"/>
        </w:rPr>
        <w:t>3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годов (далее - Основные направления бюджетной политики) разработаны в соответствии со статьей 165 Бюджетного кодекса Российской Федерации (далее - Бюджетный кодекс).</w:t>
      </w:r>
    </w:p>
    <w:p w:rsidR="00435C43" w:rsidRPr="00435C43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При подготовке Основных направлений бюджетной и налоговой политики были учтены положения Указа Президента Российской Федерации от 07 мая 2018г. № 204 «О национальных целях и стратегических задачах развития Российской Федерации на период до 2024 года», Послания Президента Российской Федерации Федеральному Собранию Российской Федерации от 20 февраля 2019 года.</w:t>
      </w:r>
    </w:p>
    <w:p w:rsidR="00435C43" w:rsidRPr="00435C43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Целью Основных направлений бюджетной и налоговой политики является определение условий, принимаемых для составления проекта бюджета  на 202</w:t>
      </w:r>
      <w:r w:rsidR="00243585">
        <w:rPr>
          <w:rFonts w:ascii="Times New Roman" w:eastAsia="Times New Roman" w:hAnsi="Times New Roman" w:cs="Times New Roman"/>
          <w:sz w:val="26"/>
          <w:szCs w:val="26"/>
        </w:rPr>
        <w:t>1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год и на плановый период 202</w:t>
      </w:r>
      <w:r w:rsidR="00243585">
        <w:rPr>
          <w:rFonts w:ascii="Times New Roman" w:eastAsia="Times New Roman" w:hAnsi="Times New Roman" w:cs="Times New Roman"/>
          <w:sz w:val="26"/>
          <w:szCs w:val="26"/>
        </w:rPr>
        <w:t>2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и 202</w:t>
      </w:r>
      <w:r w:rsidR="00243585">
        <w:rPr>
          <w:rFonts w:ascii="Times New Roman" w:eastAsia="Times New Roman" w:hAnsi="Times New Roman" w:cs="Times New Roman"/>
          <w:sz w:val="26"/>
          <w:szCs w:val="26"/>
        </w:rPr>
        <w:t>3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годов (далее - проект бюджета на 2020 - 2022 годы), подходов к его формированию, основных характеристик и прогнозируемых параметров бюджета сельского поселения Севрюкаево муниципального района Ставропольский Самарской области.</w:t>
      </w:r>
    </w:p>
    <w:p w:rsidR="00435C43" w:rsidRPr="00435C43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Реализация бюджетной политики в 20</w:t>
      </w:r>
      <w:r w:rsidR="00243585">
        <w:rPr>
          <w:rFonts w:ascii="Times New Roman" w:eastAsia="Times New Roman" w:hAnsi="Times New Roman" w:cs="Times New Roman"/>
          <w:sz w:val="26"/>
          <w:szCs w:val="26"/>
        </w:rPr>
        <w:t>19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>-20</w:t>
      </w:r>
      <w:r w:rsidR="00243585">
        <w:rPr>
          <w:rFonts w:ascii="Times New Roman" w:eastAsia="Times New Roman" w:hAnsi="Times New Roman" w:cs="Times New Roman"/>
          <w:sz w:val="26"/>
          <w:szCs w:val="26"/>
        </w:rPr>
        <w:t>20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годах осуществлялась в качественно новых экономических условиях. Падение цен на традиционные товары российского экспорта, введение экономических санкций и замедление потенциальных темпов роста российской экономики на фоне накопившихся структурных дисбалансов определяют внешние и внутренние условия, не соответствующие тем ожиданиям, которые закладывались при формировании бюджета на предшествующую трехлетку.</w:t>
      </w:r>
    </w:p>
    <w:p w:rsidR="00435C43" w:rsidRPr="00435C43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В условиях стремительного роста волатильности на финансовом рынке в </w:t>
      </w:r>
      <w:r w:rsidRPr="00746266">
        <w:rPr>
          <w:rFonts w:ascii="Times New Roman" w:eastAsia="Times New Roman" w:hAnsi="Times New Roman" w:cs="Times New Roman"/>
          <w:sz w:val="26"/>
          <w:szCs w:val="26"/>
        </w:rPr>
        <w:t>конце 2016 года главной задачей экономической политики стало сохранение финансовой стабильности. Немаловажную роль в этом сыграла и бюджетная политика.</w:t>
      </w:r>
    </w:p>
    <w:p w:rsidR="00435C43" w:rsidRPr="00435C43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Своевременная реализация антикризисного бюджетного маневра наряду с другими элементами государственной экономической политики позволили быстро стабилизировать ситуацию на финансовом рынке и минимизировать негативные последствия для реального сектора. Российская экономика практически завершила структурную адаптацию к внешним шокам, а, соответственно, исчерпался и негативный импульс от корректировки внутреннего спроса, необходимого для такой подстройки. По мере дальнейшего снижения инфляционных ожиданий на фоне проведения консервативной политики по индексации бюджетных расходов стал ослабевать и негативный циклический импульс.</w:t>
      </w:r>
    </w:p>
    <w:p w:rsidR="00435C43" w:rsidRPr="00746266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В целях обеспечения долгосрочной сбалансированности и устойчивости бюджетов, определения финансовых возможностей для реализации муниципальных 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lastRenderedPageBreak/>
        <w:t xml:space="preserve">программ, оценки бюджетных рисков и своевременной проработки мер по их </w:t>
      </w:r>
      <w:r w:rsidRPr="00746266">
        <w:rPr>
          <w:rFonts w:ascii="Times New Roman" w:eastAsia="Times New Roman" w:hAnsi="Times New Roman" w:cs="Times New Roman"/>
          <w:sz w:val="26"/>
          <w:szCs w:val="26"/>
        </w:rPr>
        <w:t>минимизации с 2016 года в Бюджетный кодекс включено требование о разработке и представлении в законодательные органы одновременно с проектом бюджета проекта долгосрочного бюджетного прогноза.</w:t>
      </w:r>
    </w:p>
    <w:p w:rsidR="00435C43" w:rsidRPr="00746266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746266">
        <w:rPr>
          <w:rFonts w:ascii="Times New Roman" w:eastAsia="Times New Roman" w:hAnsi="Times New Roman" w:cs="Times New Roman"/>
          <w:sz w:val="26"/>
          <w:szCs w:val="26"/>
        </w:rPr>
        <w:t xml:space="preserve">К итогам реализации бюджетной политики в 2016 году можно отнести то, что начиная с 2016 года осуществлен переход на принцип планирования и исполнения местного бюджета на основе муниципальных программ. </w:t>
      </w:r>
    </w:p>
    <w:p w:rsidR="00435C43" w:rsidRPr="00435C43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746266">
        <w:rPr>
          <w:rFonts w:ascii="Times New Roman" w:eastAsia="Times New Roman" w:hAnsi="Times New Roman" w:cs="Times New Roman"/>
          <w:sz w:val="26"/>
          <w:szCs w:val="26"/>
        </w:rPr>
        <w:t>В рамках мероприятий по повышению эффективности бюджетных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расходов проведена работа по формированию нормативно-правовой базы в области муниципальных закупок. Приняты правовые акты, регулирующие нормирование затрат на обеспечение функций администрации сельского поселения.</w:t>
      </w:r>
    </w:p>
    <w:p w:rsidR="00435C43" w:rsidRPr="00435C43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Значительный риск для российской экономики по-прежнему несет усиление геополитической напряженности в мире, что может дополнительно затруднить доступ российских компаний к мировому рынку капитала, привести к ослаблению рубля и новому витку роста потребительских цен, снижению деловой и потребительской активности. </w:t>
      </w:r>
    </w:p>
    <w:p w:rsidR="00435C43" w:rsidRPr="00435C43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В связи с тем, что на сегодняшний день главный вызов связан с нахождением баланса между усложняющимися задачами государственной политики и установленными на новом, более низком уровне бюджетными возможностями, задача повышения эффективности бюджетных расходов выходит на первый план.</w:t>
      </w:r>
    </w:p>
    <w:p w:rsidR="00435C43" w:rsidRPr="00435C43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Существенный резерв повышения эффективности бюджетных расходов лежит в области подготовки бюджетных решений. В борьбе за эффективное использование бюджетных средств требуется смещение акцента на оценку обоснованности решений. Необходимо активно использовать оценку эффективности бюджетных расходов уже на этапе планирования расходов.</w:t>
      </w:r>
    </w:p>
    <w:p w:rsidR="00435C43" w:rsidRPr="00435C43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Реализация поставленных задач потребует совершенствования налоговой системы Российской Федерации. Также необходимо продолжить работу по повышению собираемости налогов за счет сокращения теневого сектора, внедрения цифровых технологий в организацию налогового администрирования и налогового контроля.</w:t>
      </w:r>
    </w:p>
    <w:p w:rsidR="00435C43" w:rsidRPr="00435C43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         Изменения законодательства Российской Федерации о налогах и сборах должны быть направлены на создание стабильных условий для ведения предпринимательской деятельности, стимулирование развития среднего и малого предпринимательства, улучшение положения налогоплательщиков. При этом необходимо расширять налоговую базу местных бюджетов, а также выявлять дополнительные источники налоговых доходов бюджетов бюджетной системы Российской Федерации.</w:t>
      </w:r>
    </w:p>
    <w:p w:rsidR="00435C43" w:rsidRPr="00435C43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br/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1.ОСНОВНЫЕ ЦЕЛИ И ЗАДАЧИ БЮДЖЕТНОЙ ПОЛИТИКИ 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И ПРИОРИТЕТЫ БЮДЖЕТНЫХ РАСХОДОВ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>НА 202</w:t>
      </w:r>
      <w:r w:rsidR="00243585">
        <w:rPr>
          <w:rFonts w:ascii="Times New Roman" w:eastAsia="Times New Roman" w:hAnsi="Times New Roman" w:cs="Times New Roman"/>
          <w:b/>
          <w:bCs/>
          <w:sz w:val="26"/>
          <w:szCs w:val="26"/>
        </w:rPr>
        <w:t>1</w:t>
      </w:r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– 202</w:t>
      </w:r>
      <w:r w:rsidR="00243585">
        <w:rPr>
          <w:rFonts w:ascii="Times New Roman" w:eastAsia="Times New Roman" w:hAnsi="Times New Roman" w:cs="Times New Roman"/>
          <w:b/>
          <w:bCs/>
          <w:sz w:val="26"/>
          <w:szCs w:val="26"/>
        </w:rPr>
        <w:t>3</w:t>
      </w:r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ГОДЫ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bCs/>
          <w:sz w:val="26"/>
          <w:szCs w:val="26"/>
        </w:rPr>
      </w:pP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Бюджетная политика как составная часть экономической политики должна быть нацелена на проведение всесторонней модернизации экономики сельского поселения создание условий для повышения ее эффективности и 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lastRenderedPageBreak/>
        <w:t>конкурентоспособности, долгосрочного устойчивого развития, на улучшение инвестиционного климата, достижение конкретных результатов.</w:t>
      </w:r>
    </w:p>
    <w:p w:rsidR="00435C43" w:rsidRPr="00435C43" w:rsidRDefault="00435C43" w:rsidP="00435C43">
      <w:pPr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В трехлетней перспективе 20</w:t>
      </w:r>
      <w:r w:rsidR="00243585">
        <w:rPr>
          <w:rFonts w:ascii="Times New Roman" w:eastAsia="Times New Roman" w:hAnsi="Times New Roman" w:cs="Times New Roman"/>
          <w:sz w:val="26"/>
          <w:szCs w:val="26"/>
        </w:rPr>
        <w:t>21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- 202</w:t>
      </w:r>
      <w:r w:rsidR="00243585">
        <w:rPr>
          <w:rFonts w:ascii="Times New Roman" w:eastAsia="Times New Roman" w:hAnsi="Times New Roman" w:cs="Times New Roman"/>
          <w:sz w:val="26"/>
          <w:szCs w:val="26"/>
        </w:rPr>
        <w:t>3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годов приоритеты в области налоговой политики остаются такими же, как и ранее - создание эффективной и стабильной налоговой системы, обеспечивающей бюджетную устойчивость в среднесрочной и долгосрочной перспективе, а также дальнейшее повышение эффективности налоговой системы. Основными целями налоговой политики являются, увеличение налогового потенциала посредством реализации мер направленных на повышение собираемости налогов и сборов, снижение масштабов уклонения от уплаты налогов. Одновременно в рамках своих полномочий планируется дальнейшее применение мер налогового стимулирования инвестиций, а также дальнейшее повышение эффективности системы налогового администрирования.</w:t>
      </w:r>
    </w:p>
    <w:p w:rsidR="00435C43" w:rsidRPr="00435C43" w:rsidRDefault="00B34D0D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tab/>
      </w:r>
      <w:r w:rsidR="00435C43" w:rsidRPr="00435C43">
        <w:rPr>
          <w:rFonts w:ascii="Times New Roman" w:eastAsia="Times New Roman" w:hAnsi="Times New Roman" w:cs="Times New Roman"/>
          <w:sz w:val="26"/>
          <w:szCs w:val="26"/>
        </w:rPr>
        <w:t>Исходя из приоритетов налоговой политики, главным администраторам доходов местного бюджета необходимо направить усилия на решение следующих задач:</w:t>
      </w:r>
    </w:p>
    <w:p w:rsidR="00435C43" w:rsidRPr="00435C43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- обеспечение уровня доходов местного бюджета, достаточного для гарантированного и качественного выполнения задач и функций местного самоуправления;</w:t>
      </w:r>
    </w:p>
    <w:p w:rsidR="00435C43" w:rsidRPr="00435C43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- повышение качества администрирования налоговых и неналоговых доходов местного бюджета;</w:t>
      </w:r>
    </w:p>
    <w:p w:rsidR="00435C43" w:rsidRPr="00435C43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- повышение эффективности использования муниципального имущества.</w:t>
      </w:r>
    </w:p>
    <w:p w:rsidR="00435C43" w:rsidRPr="00435C43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Для реализации основных целей и задач налоговой политики предстоит реализовать комплекс мер, направленных на увеличение налогового потенциала, повышение собираемости налоговых и неналоговых доходов, в том числе:</w:t>
      </w:r>
    </w:p>
    <w:p w:rsidR="00435C43" w:rsidRPr="00435C43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- сокращение задолженности по налоговым и неналоговым доходам в местный бюджет;</w:t>
      </w:r>
    </w:p>
    <w:p w:rsidR="00435C43" w:rsidRPr="00435C43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- усиление претензионно-исковой работы с недоимщиками по неналоговым доходам в местный бюджет;</w:t>
      </w:r>
    </w:p>
    <w:p w:rsidR="00435C43" w:rsidRPr="00435C43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- продолжение работы по легализации заработной платы;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Необходимо понимание последствий реализации любых мер бюджетной политики с точки зрения их влияния на темпы продвижения к достижению поставленных целей.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Новые расходные обязательства должны приниматься только на основе тщательной оценки их эффективности и при наличии ресурсов для их гарантированного исполнения в пределах принятых бюджетных ограничений. 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В кризисный период задача составления долгосрочных планов финансового развития отошла на второй план. С нормализацией экономической жизни следует вернуться к разработке долгосрочных планов экономического развития сельского поселения, которые должны предусматривать в том числе и сценарии возможного повторного ухудшения экономической ситуации.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Для разработки долгосрочной бюджетной стратегии потребуется расширение горизонта и повышение надежности экономических прогнозов, которые должны быть основаны на разумных оценках конъюнктурных параметров и макроэкономических показателей, зависящих от бюджетных расходов.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Необходимо соблюдение четких правил оценки объема действующих расходных обязательств и процедуры принятия новых расходных обязательств, 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lastRenderedPageBreak/>
        <w:t>повышение ответственности за достоверность их финансово-экономических обоснований.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Любое предлагаемое новое решение должно быть проанализировано с точки зрения возможностей его финансового обеспечения и вклада в достижение стратегических целей развития поселения.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Необходимо разработать и реализовать на практике конкретные механизмы внедрения и поддержки инновационных технологий, прежде всего в таких областях, как энергоэффективность. Это отмечалось и в Бюджетном Послании Президента РФ.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Участие в предупреждении и ликвидации последствий чрезвычайных ситуаций,  обеспечения первичных мер пожарной безопасности в границах нашего поселения и защите населения и территории поселения от чрезвычайных ситуаций природного и техногенного характера.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Организация благоустройства территории поселения, электро-, тепло-, газо- и водоснабжение населения – это наши текущие неотъемлемые задачи. 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Необходимо проведение работы по формированию здорового образа жизни в поселении, развитие массовой физической культуры и спорта, так как это является важной инвестицией в будущее развитие;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Основными задачами ближайших лет по повышению эффективности бюджетных расходов являются: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повышение эффективности и результативности имеющихся инструментов программно-целевого управления и бюджетирования;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создание условий для повышения качества предоставления муниципальных услуг;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повышение эффективности процедур проведения муниципальных закупок, в том числе путем внедрения казначейского сопровождения;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совершенствование процедур предварительного и последующего контроля, в том числе уточнение порядка и содержания мер принуждения к нарушениям в финансово-бюджетной сфере;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обеспечение широкого вовлечения граждан в процедуры обсуждения и принятия конкретных бюджетных решений, общественного контроля их эффективности и результативности.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Одним из условий обеспечения эффективности муниципальных финансов является построение целостной системы открытости деятельности муниципальных органов на базе системы «Электронный бюджет».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С 2017 года внедрены компоненты системы, которые позволят стандартизировать и автоматизировать бюджетные процедуры по ведению бюджетных росписей главных распорядителей средств местного бюджета и бюджетных смет получателей средств местного бюджета, управлению муниципальным долгом и финансовыми активами, прогнозированию и администрированию доходов бюджетов бюджетной системы.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В рамках мероприятий по информационному обеспечению контрактной системы в сфере закупок и интеграции бюджетного и закупочного процессов в системе «Электронный бюджет» будет обеспечено формирование и контроль соответствия лимитам бюджетных обязательств планов и планов-графиков закупок муниципальных заказчиков, а также последующий контроль на соответствие 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lastRenderedPageBreak/>
        <w:t>утвержденным планам-графикам закупок всей закупочной документации, размещаемой в единой информационной системе в сфере закупок.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Кроме того, в целях обеспечения прозрачности и открытости муниципальных финансов, повышения доступности и понятности информации о бюджете будет продолжена регулярная публикация в средствах массовой информации.</w:t>
      </w:r>
    </w:p>
    <w:p w:rsidR="006B6662" w:rsidRPr="00435C43" w:rsidRDefault="00435C43" w:rsidP="00EC5FE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Также, с целью внутреннего социального и экономического развития, особое внимание необходимо уделить </w:t>
      </w:r>
      <w:r w:rsidRPr="00435C43">
        <w:rPr>
          <w:rFonts w:ascii="Times New Roman" w:eastAsia="Times New Roman" w:hAnsi="Times New Roman" w:cs="Times New Roman"/>
          <w:color w:val="333333"/>
          <w:sz w:val="26"/>
          <w:szCs w:val="26"/>
          <w:shd w:val="clear" w:color="auto" w:fill="FFFFFF"/>
        </w:rPr>
        <w:t>задачам, которые поставлены в майском указе Президента РФ, развернуты в национальных проектах. Их содержание и ориентиры отражают запросы и ожидания граждан страны. Национальные проекты построены вокруг человека, ради достижения нового качества жизни для всех поколений, которое может быть обеспечено только при динамичном развитии России.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435C43" w:rsidRPr="00435C43" w:rsidRDefault="00435C43" w:rsidP="00435C43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>ОСНОВНЫЕ НАПРАВЛЕНИЯ НАЛОГОВОЙ ПОЛИТИКИ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</w:rPr>
      </w:pP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Основные направления налоговой политики сельского поселения на 202</w:t>
      </w:r>
      <w:r w:rsidR="00243585">
        <w:rPr>
          <w:rFonts w:ascii="Times New Roman" w:eastAsia="Times New Roman" w:hAnsi="Times New Roman" w:cs="Times New Roman"/>
          <w:sz w:val="26"/>
          <w:szCs w:val="26"/>
        </w:rPr>
        <w:t>1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год и на плановый период 202</w:t>
      </w:r>
      <w:r w:rsidR="00243585">
        <w:rPr>
          <w:rFonts w:ascii="Times New Roman" w:eastAsia="Times New Roman" w:hAnsi="Times New Roman" w:cs="Times New Roman"/>
          <w:sz w:val="26"/>
          <w:szCs w:val="26"/>
        </w:rPr>
        <w:t>2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и 202</w:t>
      </w:r>
      <w:r w:rsidR="00243585">
        <w:rPr>
          <w:rFonts w:ascii="Times New Roman" w:eastAsia="Times New Roman" w:hAnsi="Times New Roman" w:cs="Times New Roman"/>
          <w:sz w:val="26"/>
          <w:szCs w:val="26"/>
        </w:rPr>
        <w:t>3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годов (далее – Основные направления налоговой политики) подготовлены с целью составления проекта бюджета сельского поселения на очередной финансовый год и двухлетний плановый период.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435C43" w:rsidRPr="00435C43" w:rsidRDefault="00435C43" w:rsidP="00435C43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Основные меры в области налоговой политики,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планируемые к реализации в 202</w:t>
      </w:r>
      <w:r w:rsidR="00243585">
        <w:rPr>
          <w:rFonts w:ascii="Times New Roman" w:eastAsia="Times New Roman" w:hAnsi="Times New Roman" w:cs="Times New Roman"/>
          <w:b/>
          <w:sz w:val="26"/>
          <w:szCs w:val="26"/>
        </w:rPr>
        <w:t>1</w:t>
      </w: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 xml:space="preserve"> году и плановом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периоде 202</w:t>
      </w:r>
      <w:r w:rsidR="00243585">
        <w:rPr>
          <w:rFonts w:ascii="Times New Roman" w:eastAsia="Times New Roman" w:hAnsi="Times New Roman" w:cs="Times New Roman"/>
          <w:b/>
          <w:sz w:val="26"/>
          <w:szCs w:val="26"/>
        </w:rPr>
        <w:t>2 и 2023</w:t>
      </w: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 xml:space="preserve"> годов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В рамках исполнения Послания Президента Российской Федерации,</w:t>
      </w:r>
      <w:r w:rsidR="0077726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>предполагается внесение изменений в законодательство Российской Федерации, предусматривающих добровольное декларирование физическими лицами имущества (счетов и вкладов в банках), включая возможности задекларировать имущество, переданное номинальному владельцу, предоставление таким декларантам значительного объема муниципальных гарантий, направленных на непривлечение к уголовной, административной и налоговой ответственности в части нарушений налогового, валютного и таможенного законодательства. 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Необходимо понимать, что рост доходов должен быть обеспечен прежде всего за счет улучшения администрирования уже существующих налогов. На сегодня актуальными остаются вопросы совершенствования администрирования доходов. 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435C43" w:rsidRPr="00435C43" w:rsidRDefault="00435C43" w:rsidP="00435C43">
      <w:pPr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Налогообложение доходов физических лиц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Налогообложение доходов физических лиц требует постоянной корректировки, с одной стороны, с целью исключения необоснованных налоговых льгот, а с другой стороны, с целью уточнения отдельных положений в части порядка определения налоговой базы и контроля за полнотой и своевременностью уплаты налога. Например, предполагается уточнение порядка освобождения отдельных видов доходов от обложения налогом на доходы физических лиц, в том числе при увольнении гражданских служащих, военнослужащих и судей, при получении доходов в иностранной валюте, уточнение отдельных положений по налогообложению выигрышей в лотереи.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435C43" w:rsidRPr="00435C43" w:rsidRDefault="00435C43" w:rsidP="00435C43">
      <w:pPr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lastRenderedPageBreak/>
        <w:t>Акцизное налогообложение.  Индексация ставок акцизов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На 202</w:t>
      </w:r>
      <w:r w:rsidR="00777264">
        <w:rPr>
          <w:rFonts w:ascii="Times New Roman" w:eastAsia="Times New Roman" w:hAnsi="Times New Roman" w:cs="Times New Roman"/>
          <w:sz w:val="26"/>
          <w:szCs w:val="26"/>
        </w:rPr>
        <w:t>1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и 202</w:t>
      </w:r>
      <w:r w:rsidR="00777264">
        <w:rPr>
          <w:rFonts w:ascii="Times New Roman" w:eastAsia="Times New Roman" w:hAnsi="Times New Roman" w:cs="Times New Roman"/>
          <w:sz w:val="26"/>
          <w:szCs w:val="26"/>
        </w:rPr>
        <w:t>2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годы предусматривается сохранение размеров ставок акцизов, установленных действующим законодательством о налогах и сборах. На 202</w:t>
      </w:r>
      <w:r w:rsidR="00777264">
        <w:rPr>
          <w:rFonts w:ascii="Times New Roman" w:eastAsia="Times New Roman" w:hAnsi="Times New Roman" w:cs="Times New Roman"/>
          <w:sz w:val="26"/>
          <w:szCs w:val="26"/>
        </w:rPr>
        <w:t>3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год предполагается индексация ставок акцизов с учетом индекса потребительских цен.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1.3Оценка эффективности налоговых льгот и иных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стимулирующих механизмов. Подходы к установлению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налоговых льгот. Отмена федеральных льгот по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региональным и местным налогам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В Основных направлениях </w:t>
      </w:r>
      <w:r w:rsidRPr="00777264">
        <w:rPr>
          <w:rFonts w:ascii="Times New Roman" w:eastAsia="Times New Roman" w:hAnsi="Times New Roman" w:cs="Times New Roman"/>
          <w:sz w:val="26"/>
          <w:szCs w:val="26"/>
        </w:rPr>
        <w:t>налоговой политики на 2011 - 2013 годы была впервые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поставлена задача постепенной отмены федеральных льгот по региональным и местным налогам. После проведения анализа и оценки бюджетного эффекта от действовавших на тот момент федеральных льгот по региональным и местным налогам была предложена постепенная отмена льгот по налогу на имущество организаций для инфраструктурных объектов, а также льгот по земельному налогу для земельных участков, ограниченных в обороте в соответствии с законодательством Российской Федерации, предоставленных для обеспечения обороны, безопасности и таможенных нужд.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Принятый в 2012 году Федеральный закон от 29 ноября 2012 г. № 202-ФЗ «О внесении изменений в часть вторую Налогового кодекса Российской Федерации», предусматривает поэтапную отмену льгот по налогу на имущество организаций в отношении линейных объектов инфраструктуры.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Так, с 2013 года были отменены наиболее крупные налоговые льготы по налогу на имущество организаций в отношении железнодорожных путей общего пользования, магистральных трубопроводов, линий энергопередачи, сооружений, являющихся их неотъемлемой технологической частью, с постепенным увеличением ставки с 0,4% в 2013 году до 2,2% в 2019 году.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Также объекты налогообложения земельных участков, ограниченных в обороте в соответствии с законодательством Российской Федерации и предоставленных для обеспечения обороны, безопасности и таможенных нужд, были включены в состав объектов налогообложения по земельному налогу, с установлением в отношении таких земельных участков налоговой ставки, не превышающей 0,3 процента их кадастровой стоимости.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По оценкам Минфина России, выпадающие доходы от указанных льгот на момент их существования в 2012 году составляли около 85 процентов объема всех выпадающих доходов региональных и местных бюджетов от предоставления льгот на федеральном уровне по региональным и местным налогам. Таким образом, по окончании переходного периода, к 2018 году, федеральные льготы по региональным и местным налогам уже в соответствии с принятыми решениями будут сокращены на 85 процентов.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С учетом существенного влияния на устойчивость доходов субнациональных уровней бюджетной системы принимаемых на федеральном уровне решений по установлению льгот и освобождений как по региональным и местным налогам, так и по федеральным налогам и специальным налоговым режимам, доходы от которых поступают в бюджеты субъектов Российской Федерации и местные бюджеты, 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lastRenderedPageBreak/>
        <w:t>оценка эффективности введения новой льготы должна стать обязательным элементом процесса введения новой льготы.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Для этого любая новая налоговая льгота должна устанавливаться на ограниченный период – например, на 5 лет или более длительный срок в зависимости от целевой направленности этой льготы. По мере приближения истечения срока действия льготы принятие решения о ее возможном продлении должно производиться с учетом результатов анализа ее эффективности.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При этом принятие новой льготы, налогового освобождения или иного стимулирующего механизма в рамках налоговой политики должно сопровождаться определением «источника» для такого решения, в качестве которого, в том числе, может рассматриваться отмена одной или нескольких неэффективных льгот (возможно, с заменой на аналогичный объем налоговых расходов).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Одновременно предполагается окончательно отказаться от установления новых льгот на федеральном уровне (включая освобождения от налогообложения, изъятия из налоговой базы и объекта налогообложения) по региональным и местным налогам.</w:t>
      </w:r>
    </w:p>
    <w:p w:rsidR="00435C43" w:rsidRPr="00EC5FEA" w:rsidRDefault="00435C43" w:rsidP="00EC5FE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В то же время, единовременная отмена налоговых льгот, имеющих важное социальное и государственное значение, установленных законодательством Российской Федерации о налогах и сборах, может привести к социальной напряженности в обществе (например, отмена налоговых льгот для инвалидов, пенсионеров, религиозных организаций) либо к увеличению расходных обязательств федерального бюджета (например, отмена налоговых льгот для учреждений уголовно-исполнительной системы). В связи с этим отмене должны подлежать налоговые льготы, не оказывающие влияния на достижение одной из целей налоговой политики – стимулирование экономического роста, и не имеющие социального эффекта.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435C43" w:rsidRPr="00435C43" w:rsidRDefault="00435C43" w:rsidP="00435C43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Основные итоги реализации налоговой политики</w:t>
      </w:r>
    </w:p>
    <w:p w:rsidR="00435C43" w:rsidRPr="00435C43" w:rsidRDefault="00435C43" w:rsidP="00435C43">
      <w:pPr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Налогообложение недвижимого имущества физических лиц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left="930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В рамках совершенствования налогообложения имущества физических лиц с 2015 года в Кодекс введена новая глава 32 «Налог на имущество физических лиц».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Целью введения нового налога на имущество физических лиц является переход к более справедливому налогообложению исходя из кадастровой стоимости имущества, как наиболее приближенной к рыночной стоимости этого имущества.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Обеспечивая равенство налогообложения и защиту социально- незащищенных категорий граждан, на федеральном уровне предусмотрены налоговые вычеты в отношении объектов жилого назначения, налоговые льготы, предоставляемые отдельным категориям налогоплательщиков, а также понижающие коэффициенты, применяемые в течение первых четырех налоговых периодов после введения нового налога. Учитывая местный характер налога, широкие полномочия по установлению налога предоставлены субъектам Российской Федерации и представительным органам муниципальных образований.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Так, по решению субъекта Российской Федерации устанавливается порядок определения налоговой базы по налогу на имущество физических лиц: исходя из кадастровой стоимости объекта или его инвентаризационной стоимости (т.е. </w:t>
      </w:r>
      <w:r w:rsidRPr="009C569E">
        <w:rPr>
          <w:rFonts w:ascii="Times New Roman" w:eastAsia="Times New Roman" w:hAnsi="Times New Roman" w:cs="Times New Roman"/>
          <w:sz w:val="26"/>
          <w:szCs w:val="26"/>
        </w:rPr>
        <w:lastRenderedPageBreak/>
        <w:t>временное (до 202</w:t>
      </w:r>
      <w:r w:rsidR="00D43D41" w:rsidRPr="009C569E">
        <w:rPr>
          <w:rFonts w:ascii="Times New Roman" w:eastAsia="Times New Roman" w:hAnsi="Times New Roman" w:cs="Times New Roman"/>
          <w:sz w:val="26"/>
          <w:szCs w:val="26"/>
        </w:rPr>
        <w:t>1</w:t>
      </w:r>
      <w:r w:rsidRPr="009C569E">
        <w:rPr>
          <w:rFonts w:ascii="Times New Roman" w:eastAsia="Times New Roman" w:hAnsi="Times New Roman" w:cs="Times New Roman"/>
          <w:sz w:val="26"/>
          <w:szCs w:val="26"/>
        </w:rPr>
        <w:t xml:space="preserve"> года) сохранение действующего порядка). По решению представительных органов муниципальных образований налог вводится в действие или прекращает действовать на соответствующей территории, определяются конкретные налоговые ставки, могут увеличиваться размеры налоговых вычетов и устанавливаться дополнительные налоговые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льготы.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435C43" w:rsidRPr="00435C43" w:rsidRDefault="00435C43" w:rsidP="00435C43">
      <w:pPr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Имущественные налоги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left="930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2.2.1. Налог на имущество организаций и налог на имущество физических лиц для налогоплательщиков, применяющих  специальные налоговые режимы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В законодательство о налогах и сборах внесены изменения, направленные на предотвращение уклонения от уплаты налогов на имущество путем минимизации налоговых платежей в результате перехода организаций и индивидуальных предпринимателей на специальные налоговые режимы.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Так, в частности, в Кодекс введено положение, предусматривающее, что организации, применяющие упрощенную систему налогообложения или систему налогообложения в виде единого налога на вмененный доход, не освобождаются от уплаты налога на имущество организаций в отношении имущества, налоговая база по которому определяется исходя из его кадастровой стоимости. К таким объектам отнесены административно-деловые центры, торговые центры, офисные помещения, объекты общественного питания и бытового обслуживания.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В целях обеспечения равенства налогообложения аналогичные изменения внесены в Кодекс в отношении уплаты налога на имущество физических лиц налогоплательщиками, применяющими специальные налоговые режимы.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Указанные изменения применяются в случае перехода субъекта Российской Федерации и муниципального образования к исчислению соответствующих сумм налогов на имущество исходя из кадастровой стоимости.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При этом субъекты Российской Федерации и муниципальные образования в силу предоставленных им полномочий вправе установить ограничения по переходу организаций и физических лиц, применяющих специальные налоговые режимы, к исчислению соответствующих сумм налогов на имущество исходя из кадастровой стоимости в виде установления минимальной площади объекта налогообложения.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2.2.2 Установление единого срока уплаты имущественных налогов физическими лицами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9C569E">
        <w:rPr>
          <w:rFonts w:ascii="Times New Roman" w:eastAsia="Times New Roman" w:hAnsi="Times New Roman" w:cs="Times New Roman"/>
          <w:sz w:val="26"/>
          <w:szCs w:val="26"/>
        </w:rPr>
        <w:t>В целях удобства осуществления расчетов физическими лицами по имущественным налогам с 1 января 2015 года предусмотрены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единые сроки уплаты физическими лицами транспортного налога и налога на имущество физических лиц – не позднее 1 декабря года, следующего за истекшим налоговым периодом.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2.3 Налогообложение доходов физических лиц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Изменение механизма освобождения от налогообложения доходов физических лиц, полученных от продажи жилых помещений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Предусматривается увеличение до пяти лет минимального предельного срока владения объектом недвижимого имущества, доходы от продажи которого 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lastRenderedPageBreak/>
        <w:t>освобождаются от налогообложения. При этом минимальный предельный срок владения таким объектом недвижимого имущества составляет три года, в случае если право собственности на объект недвижимого имущества получено налогоплательщиком одним из следующих способов:</w:t>
      </w:r>
    </w:p>
    <w:p w:rsidR="00435C43" w:rsidRPr="00435C43" w:rsidRDefault="00435C43" w:rsidP="00B7450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- в порядке наследования или по договору дарения от физического лица, признаваемого членом семьи и (или) близким родственником этого налогоплательщика в соответствии с Семейным кодексом Российской</w:t>
      </w:r>
      <w:r w:rsidR="0077726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>Федерации;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- в результате приватизации;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- в результате передачи имущества по договору пожизненного содержания с иждивением.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Одновременно в целях предотвращения занижения налоговой базы по налогу на доходы физических лиц (НДФЛ) при продаже физическим лицом объекта недвижимого имущества предусматривается исчисление налога с вмененного дохода, рассчитываемого как кадастровая стоимость продаваемого объекта недвижимого имущества по состоянию на 1 января года, в котором осуществлена продажа, умноженная на понижающий коэффициент 0,7, в случае, если доходы налогоплательщика от его продажи ниже этой величины. 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При этом субъектам Российской Федерации предоставляется право уменьшать вплоть до нуля минимальный предельный срок владения объектом недвижимого имущества и размер понижающего коэффициента. 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Предусмотренный механизм налогообложения доходов физических лиц от продажи недвижимого имущества будет применяться в отношении объектов недвижимого имущества, приобретенных в собственность физических лиц после 1 января 2016 г.</w:t>
      </w:r>
    </w:p>
    <w:p w:rsidR="00855602" w:rsidRPr="00EC5FEA" w:rsidRDefault="00435C43" w:rsidP="00EC5FE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В поставленных выше задачах имеются значительные резервы улучшения финансового и экономического состояния поселения, и наша задача достичь положительных результатов, максимально используя эти перспективы.</w:t>
      </w:r>
    </w:p>
    <w:sectPr w:rsidR="00855602" w:rsidRPr="00EC5FEA" w:rsidSect="00745E25">
      <w:footerReference w:type="default" r:id="rId8"/>
      <w:pgSz w:w="11906" w:h="16838"/>
      <w:pgMar w:top="1440" w:right="1077" w:bottom="1440" w:left="130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1B92" w:rsidRDefault="00371B92" w:rsidP="00EC5FEA">
      <w:pPr>
        <w:spacing w:after="0" w:line="240" w:lineRule="auto"/>
      </w:pPr>
      <w:r>
        <w:separator/>
      </w:r>
    </w:p>
  </w:endnote>
  <w:endnote w:type="continuationSeparator" w:id="0">
    <w:p w:rsidR="00371B92" w:rsidRDefault="00371B92" w:rsidP="00EC5F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06780896"/>
      <w:docPartObj>
        <w:docPartGallery w:val="Page Numbers (Bottom of Page)"/>
        <w:docPartUnique/>
      </w:docPartObj>
    </w:sdtPr>
    <w:sdtEndPr/>
    <w:sdtContent>
      <w:p w:rsidR="00EC5FEA" w:rsidRDefault="00D57D2F">
        <w:pPr>
          <w:pStyle w:val="a7"/>
          <w:jc w:val="center"/>
        </w:pPr>
        <w:r>
          <w:fldChar w:fldCharType="begin"/>
        </w:r>
        <w:r w:rsidR="00EC5FEA">
          <w:instrText>PAGE   \* MERGEFORMAT</w:instrText>
        </w:r>
        <w:r>
          <w:fldChar w:fldCharType="separate"/>
        </w:r>
        <w:r w:rsidR="00745E25">
          <w:rPr>
            <w:noProof/>
          </w:rPr>
          <w:t>2</w:t>
        </w:r>
        <w:r>
          <w:fldChar w:fldCharType="end"/>
        </w:r>
      </w:p>
    </w:sdtContent>
  </w:sdt>
  <w:p w:rsidR="00EC5FEA" w:rsidRDefault="00EC5FEA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1B92" w:rsidRDefault="00371B92" w:rsidP="00EC5FEA">
      <w:pPr>
        <w:spacing w:after="0" w:line="240" w:lineRule="auto"/>
      </w:pPr>
      <w:r>
        <w:separator/>
      </w:r>
    </w:p>
  </w:footnote>
  <w:footnote w:type="continuationSeparator" w:id="0">
    <w:p w:rsidR="00371B92" w:rsidRDefault="00371B92" w:rsidP="00EC5F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D8679C"/>
    <w:multiLevelType w:val="multilevel"/>
    <w:tmpl w:val="2670DBD8"/>
    <w:lvl w:ilvl="0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>
      <w:start w:val="2"/>
      <w:numFmt w:val="decimal"/>
      <w:isLgl/>
      <w:lvlText w:val="%1.%2"/>
      <w:lvlJc w:val="left"/>
      <w:pPr>
        <w:ind w:left="957" w:hanging="39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287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287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647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2007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2007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367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367" w:hanging="1800"/>
      </w:pPr>
      <w:rPr>
        <w:rFonts w:cs="Times New Roman" w:hint="default"/>
      </w:rPr>
    </w:lvl>
  </w:abstractNum>
  <w:abstractNum w:abstractNumId="1" w15:restartNumberingAfterBreak="0">
    <w:nsid w:val="26AF30C9"/>
    <w:multiLevelType w:val="multilevel"/>
    <w:tmpl w:val="3C7CC2D4"/>
    <w:lvl w:ilvl="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930" w:hanging="39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6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27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288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342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3600" w:hanging="1800"/>
      </w:pPr>
      <w:rPr>
        <w:rFonts w:cs="Times New Roman" w:hint="default"/>
      </w:rPr>
    </w:lvl>
  </w:abstractNum>
  <w:abstractNum w:abstractNumId="2" w15:restartNumberingAfterBreak="0">
    <w:nsid w:val="58AC0059"/>
    <w:multiLevelType w:val="multilevel"/>
    <w:tmpl w:val="0DF6EB46"/>
    <w:lvl w:ilvl="0">
      <w:start w:val="1"/>
      <w:numFmt w:val="decimal"/>
      <w:lvlText w:val="%1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930" w:hanging="39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34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1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558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6120" w:hanging="1800"/>
      </w:pPr>
      <w:rPr>
        <w:rFonts w:cs="Times New Roman" w:hint="default"/>
      </w:rPr>
    </w:lvl>
  </w:abstractNum>
  <w:abstractNum w:abstractNumId="3" w15:restartNumberingAfterBreak="0">
    <w:nsid w:val="69D30290"/>
    <w:multiLevelType w:val="hybridMultilevel"/>
    <w:tmpl w:val="C0B46E32"/>
    <w:lvl w:ilvl="0" w:tplc="EAEAB00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62099"/>
    <w:rsid w:val="00062099"/>
    <w:rsid w:val="000E47F5"/>
    <w:rsid w:val="001336DE"/>
    <w:rsid w:val="00180069"/>
    <w:rsid w:val="00243585"/>
    <w:rsid w:val="00255BE4"/>
    <w:rsid w:val="00302EAA"/>
    <w:rsid w:val="003211DA"/>
    <w:rsid w:val="00371B92"/>
    <w:rsid w:val="00383D79"/>
    <w:rsid w:val="0039404E"/>
    <w:rsid w:val="003C10C6"/>
    <w:rsid w:val="00435C43"/>
    <w:rsid w:val="00466ABF"/>
    <w:rsid w:val="0048379D"/>
    <w:rsid w:val="004B6C52"/>
    <w:rsid w:val="006B6662"/>
    <w:rsid w:val="00721E59"/>
    <w:rsid w:val="00745E25"/>
    <w:rsid w:val="00746266"/>
    <w:rsid w:val="00766541"/>
    <w:rsid w:val="00777264"/>
    <w:rsid w:val="007C1EBF"/>
    <w:rsid w:val="00811B05"/>
    <w:rsid w:val="00855602"/>
    <w:rsid w:val="00880DC0"/>
    <w:rsid w:val="008976FE"/>
    <w:rsid w:val="00903CD7"/>
    <w:rsid w:val="00936C58"/>
    <w:rsid w:val="00953A84"/>
    <w:rsid w:val="009C569E"/>
    <w:rsid w:val="009D6372"/>
    <w:rsid w:val="009F1C60"/>
    <w:rsid w:val="00B120E4"/>
    <w:rsid w:val="00B34D0D"/>
    <w:rsid w:val="00B74503"/>
    <w:rsid w:val="00BF6CBA"/>
    <w:rsid w:val="00C15B1A"/>
    <w:rsid w:val="00CE3E4D"/>
    <w:rsid w:val="00D274DF"/>
    <w:rsid w:val="00D43D41"/>
    <w:rsid w:val="00D57D2F"/>
    <w:rsid w:val="00DA766E"/>
    <w:rsid w:val="00E71679"/>
    <w:rsid w:val="00EC1F5A"/>
    <w:rsid w:val="00EC5FEA"/>
    <w:rsid w:val="00EE52C2"/>
    <w:rsid w:val="00F176CF"/>
    <w:rsid w:val="00F17E43"/>
    <w:rsid w:val="00F414C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3F3B98"/>
  <w15:docId w15:val="{0CB17B7F-1246-4215-B6BB-04C13AA8E2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83D7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C1E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C1EBF"/>
    <w:rPr>
      <w:rFonts w:ascii="Segoe UI" w:hAnsi="Segoe UI" w:cs="Segoe U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EC5FE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EC5FEA"/>
  </w:style>
  <w:style w:type="paragraph" w:styleId="a7">
    <w:name w:val="footer"/>
    <w:basedOn w:val="a"/>
    <w:link w:val="a8"/>
    <w:uiPriority w:val="99"/>
    <w:unhideWhenUsed/>
    <w:rsid w:val="00EC5FE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EC5FEA"/>
  </w:style>
  <w:style w:type="paragraph" w:styleId="a9">
    <w:name w:val="Normal (Web)"/>
    <w:basedOn w:val="a"/>
    <w:unhideWhenUsed/>
    <w:rsid w:val="00B120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B120E4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10</Pages>
  <Words>3856</Words>
  <Characters>21981</Characters>
  <Application>Microsoft Office Word</Application>
  <DocSecurity>0</DocSecurity>
  <Lines>183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39</cp:revision>
  <cp:lastPrinted>2020-10-26T06:41:00Z</cp:lastPrinted>
  <dcterms:created xsi:type="dcterms:W3CDTF">2019-10-29T10:40:00Z</dcterms:created>
  <dcterms:modified xsi:type="dcterms:W3CDTF">2020-10-26T06:45:00Z</dcterms:modified>
</cp:coreProperties>
</file>