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5C43" w:rsidRPr="00435C43" w:rsidRDefault="00435C43" w:rsidP="00435C43">
      <w:pPr>
        <w:spacing w:after="200" w:line="240" w:lineRule="auto"/>
        <w:contextualSpacing/>
        <w:jc w:val="both"/>
        <w:rPr>
          <w:rFonts w:ascii="Calibri" w:eastAsia="Times New Roman" w:hAnsi="Calibri" w:cs="Calibri"/>
          <w:noProof/>
          <w:sz w:val="24"/>
          <w:szCs w:val="24"/>
          <w:lang w:eastAsia="en-US"/>
        </w:rPr>
      </w:pPr>
      <w:r w:rsidRPr="00435C43">
        <w:rPr>
          <w:rFonts w:ascii="Calibri" w:eastAsia="Times New Roman" w:hAnsi="Calibri" w:cs="Calibri"/>
          <w:noProof/>
          <w:sz w:val="24"/>
          <w:szCs w:val="24"/>
          <w:lang w:eastAsia="en-US"/>
        </w:rPr>
        <w:t xml:space="preserve">     </w:t>
      </w:r>
      <w:r w:rsidRPr="00435C43">
        <w:rPr>
          <w:rFonts w:ascii="Calibri" w:eastAsia="Times New Roman" w:hAnsi="Calibri" w:cs="Calibri"/>
          <w:b/>
          <w:noProof/>
          <w:sz w:val="24"/>
          <w:szCs w:val="24"/>
          <w:lang w:eastAsia="en-US"/>
        </w:rPr>
        <w:t xml:space="preserve"> </w:t>
      </w:r>
      <w:r w:rsidRPr="00435C43">
        <w:rPr>
          <w:rFonts w:ascii="Calibri" w:eastAsia="Times New Roman" w:hAnsi="Calibri" w:cs="Calibri"/>
          <w:noProof/>
          <w:sz w:val="24"/>
          <w:szCs w:val="24"/>
          <w:lang w:eastAsia="en-US"/>
        </w:rPr>
        <w:t xml:space="preserve">                                                                   </w:t>
      </w:r>
    </w:p>
    <w:p w:rsidR="00435C43" w:rsidRPr="00435C43" w:rsidRDefault="00435C43" w:rsidP="00435C43">
      <w:pPr>
        <w:spacing w:after="200" w:line="240" w:lineRule="auto"/>
        <w:contextualSpacing/>
        <w:jc w:val="both"/>
        <w:rPr>
          <w:rFonts w:ascii="Calibri" w:eastAsia="Times New Roman" w:hAnsi="Calibri" w:cs="Calibri"/>
          <w:noProof/>
          <w:lang w:eastAsia="en-US"/>
        </w:rPr>
      </w:pPr>
    </w:p>
    <w:p w:rsidR="00435C43" w:rsidRPr="00435C43" w:rsidRDefault="00435C43" w:rsidP="00435C43">
      <w:pPr>
        <w:spacing w:after="200" w:line="240" w:lineRule="auto"/>
        <w:contextualSpacing/>
        <w:jc w:val="center"/>
        <w:rPr>
          <w:rFonts w:ascii="Calibri" w:eastAsia="Times New Roman" w:hAnsi="Calibri" w:cs="Calibri"/>
          <w:noProof/>
          <w:lang w:eastAsia="en-US"/>
        </w:rPr>
      </w:pPr>
      <w:r w:rsidRPr="00435C43">
        <w:rPr>
          <w:rFonts w:ascii="Calibri" w:eastAsia="Times New Roman" w:hAnsi="Calibri" w:cs="Calibri"/>
          <w:noProof/>
        </w:rPr>
        <w:drawing>
          <wp:inline distT="0" distB="0" distL="0" distR="0">
            <wp:extent cx="1127760" cy="929640"/>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27760" cy="929640"/>
                    </a:xfrm>
                    <a:prstGeom prst="rect">
                      <a:avLst/>
                    </a:prstGeom>
                    <a:noFill/>
                    <a:ln>
                      <a:noFill/>
                    </a:ln>
                  </pic:spPr>
                </pic:pic>
              </a:graphicData>
            </a:graphic>
          </wp:inline>
        </w:drawing>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Российская Федерация</w:t>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Самарская область</w:t>
      </w:r>
    </w:p>
    <w:p w:rsidR="00435C43" w:rsidRPr="00435C43" w:rsidRDefault="00435C43" w:rsidP="00435C43">
      <w:pPr>
        <w:autoSpaceDE w:val="0"/>
        <w:autoSpaceDN w:val="0"/>
        <w:adjustRightInd w:val="0"/>
        <w:spacing w:after="0" w:line="360" w:lineRule="auto"/>
        <w:jc w:val="center"/>
        <w:outlineLvl w:val="0"/>
        <w:rPr>
          <w:rFonts w:ascii="Times New Roman" w:eastAsia="Times New Roman" w:hAnsi="Times New Roman" w:cs="Times New Roman"/>
          <w:bCs/>
          <w:sz w:val="20"/>
          <w:szCs w:val="20"/>
        </w:rPr>
      </w:pPr>
      <w:r w:rsidRPr="00435C43">
        <w:rPr>
          <w:rFonts w:ascii="Times New Roman" w:eastAsia="Times New Roman" w:hAnsi="Times New Roman" w:cs="Times New Roman"/>
          <w:b/>
          <w:bCs/>
          <w:sz w:val="20"/>
          <w:szCs w:val="20"/>
        </w:rPr>
        <w:t xml:space="preserve"> АДМИНИСТРАЦИЯ СЕЛЬСКОГО ПОСЕЛЕНИЯ СЕВРЮКАЕВО</w:t>
      </w:r>
    </w:p>
    <w:p w:rsidR="00435C43" w:rsidRPr="00435C43" w:rsidRDefault="00435C43" w:rsidP="00435C43">
      <w:pPr>
        <w:autoSpaceDE w:val="0"/>
        <w:autoSpaceDN w:val="0"/>
        <w:adjustRightInd w:val="0"/>
        <w:spacing w:after="0" w:line="360"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МУНИЦИПАЛЬНОГО РАЙОНА СТАВРОПОЛЬСКИЙ</w:t>
      </w:r>
    </w:p>
    <w:p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САМАРСКОЙ ОБЛАСТИ</w:t>
      </w:r>
    </w:p>
    <w:p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p>
    <w:p w:rsidR="00435C43" w:rsidRPr="00435C43" w:rsidRDefault="00435C43" w:rsidP="00435C43">
      <w:pPr>
        <w:spacing w:after="0" w:line="240" w:lineRule="auto"/>
        <w:jc w:val="center"/>
        <w:rPr>
          <w:rFonts w:ascii="Times New Roman" w:eastAsia="Times New Roman" w:hAnsi="Times New Roman" w:cs="Times New Roman"/>
          <w:b/>
          <w:sz w:val="36"/>
          <w:szCs w:val="36"/>
        </w:rPr>
      </w:pPr>
      <w:r w:rsidRPr="00435C43">
        <w:rPr>
          <w:rFonts w:ascii="Times New Roman" w:eastAsia="Times New Roman" w:hAnsi="Times New Roman" w:cs="Times New Roman"/>
          <w:b/>
          <w:sz w:val="36"/>
          <w:szCs w:val="36"/>
        </w:rPr>
        <w:t>ПОСТАНОВЛЕНИЕ</w:t>
      </w:r>
    </w:p>
    <w:p w:rsidR="00435C43" w:rsidRPr="00435C43" w:rsidRDefault="00435C43" w:rsidP="00435C43">
      <w:pPr>
        <w:spacing w:after="0" w:line="240" w:lineRule="auto"/>
        <w:jc w:val="center"/>
        <w:rPr>
          <w:rFonts w:ascii="Times New Roman" w:eastAsia="Times New Roman" w:hAnsi="Times New Roman" w:cs="Times New Roman"/>
          <w:b/>
          <w:sz w:val="36"/>
          <w:szCs w:val="36"/>
        </w:rPr>
      </w:pPr>
    </w:p>
    <w:p w:rsidR="00435C43" w:rsidRPr="00435C43" w:rsidRDefault="00435C43" w:rsidP="00435C43">
      <w:pPr>
        <w:spacing w:after="0" w:line="240" w:lineRule="auto"/>
        <w:jc w:val="both"/>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от 30.10.2019 года                                                                                        № 39</w:t>
      </w:r>
    </w:p>
    <w:p w:rsidR="00435C43" w:rsidRPr="00435C43" w:rsidRDefault="00435C43" w:rsidP="00435C43">
      <w:pPr>
        <w:spacing w:after="0" w:line="240" w:lineRule="auto"/>
        <w:jc w:val="center"/>
        <w:rPr>
          <w:rFonts w:ascii="Times New Roman" w:eastAsia="Times New Roman" w:hAnsi="Times New Roman" w:cs="Times New Roman"/>
          <w:b/>
          <w:sz w:val="26"/>
          <w:szCs w:val="26"/>
        </w:rPr>
      </w:pPr>
    </w:p>
    <w:p w:rsidR="00435C43" w:rsidRPr="00435C43" w:rsidRDefault="00435C43" w:rsidP="00435C43">
      <w:pPr>
        <w:spacing w:after="0" w:line="240" w:lineRule="auto"/>
        <w:rPr>
          <w:rFonts w:ascii="Times New Roman" w:eastAsia="Times New Roman" w:hAnsi="Times New Roman" w:cs="Times New Roman"/>
          <w:b/>
          <w:sz w:val="26"/>
          <w:szCs w:val="26"/>
        </w:rPr>
      </w:pPr>
      <w:r w:rsidRPr="00435C43">
        <w:rPr>
          <w:rFonts w:ascii="Times New Roman" w:eastAsia="Times New Roman" w:hAnsi="Times New Roman" w:cs="Times New Roman"/>
          <w:sz w:val="26"/>
          <w:szCs w:val="26"/>
        </w:rPr>
        <w:t xml:space="preserve">                         </w:t>
      </w:r>
      <w:r w:rsidRPr="00435C43">
        <w:rPr>
          <w:rFonts w:ascii="Times New Roman" w:eastAsia="Times New Roman" w:hAnsi="Times New Roman" w:cs="Times New Roman"/>
          <w:b/>
          <w:sz w:val="26"/>
          <w:szCs w:val="26"/>
        </w:rPr>
        <w:t xml:space="preserve">Об основных направлениях бюджетной и налоговой политики </w:t>
      </w:r>
    </w:p>
    <w:p w:rsidR="00435C43" w:rsidRPr="00435C43" w:rsidRDefault="00435C43" w:rsidP="00435C43">
      <w:pPr>
        <w:spacing w:after="0" w:line="240" w:lineRule="auto"/>
        <w:ind w:firstLine="708"/>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в 2020-2022 годах</w:t>
      </w:r>
    </w:p>
    <w:p w:rsidR="00435C43" w:rsidRPr="00435C43" w:rsidRDefault="00435C43" w:rsidP="00435C43">
      <w:pPr>
        <w:spacing w:after="0" w:line="276" w:lineRule="auto"/>
        <w:jc w:val="center"/>
        <w:rPr>
          <w:rFonts w:ascii="Times New Roman" w:eastAsia="Times New Roman" w:hAnsi="Times New Roman" w:cs="Times New Roman"/>
          <w:b/>
          <w:sz w:val="26"/>
          <w:szCs w:val="26"/>
        </w:rPr>
      </w:pPr>
    </w:p>
    <w:p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целях укрепления налогового потенциала бюджета сельского поселения Севрюкаево муниципального района Ставропольский Самарской области, установления основных приоритетов  бюджетных расходов, руководствуясь Положением о бюджетном процессе в сельском поселении Севрюкаево муниципального района Ставропольский Самарской области, утвержденного </w:t>
      </w:r>
      <w:r w:rsidRPr="00435C43">
        <w:rPr>
          <w:rFonts w:ascii="Times New Roman" w:eastAsia="Times New Roman" w:hAnsi="Times New Roman" w:cs="Times New Roman"/>
          <w:sz w:val="26"/>
          <w:szCs w:val="26"/>
          <w:u w:val="single"/>
        </w:rPr>
        <w:t>Решением</w:t>
      </w:r>
      <w:r w:rsidRPr="00435C43">
        <w:rPr>
          <w:rFonts w:ascii="Times New Roman" w:eastAsia="Times New Roman" w:hAnsi="Times New Roman" w:cs="Times New Roman"/>
          <w:sz w:val="26"/>
          <w:szCs w:val="26"/>
        </w:rPr>
        <w:t xml:space="preserve"> Собрания Представителей </w:t>
      </w:r>
      <w:r w:rsidRPr="00435C43">
        <w:rPr>
          <w:rFonts w:ascii="Times New Roman" w:eastAsia="Times New Roman" w:hAnsi="Times New Roman" w:cs="Times New Roman"/>
          <w:sz w:val="28"/>
          <w:szCs w:val="28"/>
        </w:rPr>
        <w:t>от 10.07.2009г.  №56</w:t>
      </w:r>
      <w:r w:rsidRPr="00435C43">
        <w:rPr>
          <w:rFonts w:ascii="Times New Roman" w:eastAsia="Times New Roman" w:hAnsi="Times New Roman" w:cs="Times New Roman"/>
          <w:sz w:val="24"/>
          <w:szCs w:val="24"/>
        </w:rPr>
        <w:t xml:space="preserve"> </w:t>
      </w:r>
      <w:r w:rsidRPr="00435C43">
        <w:rPr>
          <w:rFonts w:ascii="Times New Roman" w:eastAsia="Times New Roman" w:hAnsi="Times New Roman" w:cs="Times New Roman"/>
          <w:sz w:val="26"/>
          <w:szCs w:val="26"/>
        </w:rPr>
        <w:t>администрация сельского поселения Севрюкаево муниципального района Ставропольский Самарской области</w:t>
      </w:r>
    </w:p>
    <w:p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ПОСТАНОВЛЯЕТ:</w:t>
      </w:r>
    </w:p>
    <w:p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1.Утвердить основные направления бюджетной и налоговой политики  в сельском поселении Севрюкаево муниципального района Ставропольский Самарской области на 2020-2022 годы, согласно Приложения.</w:t>
      </w:r>
    </w:p>
    <w:p w:rsidR="00435C43" w:rsidRPr="00435C43" w:rsidRDefault="00435C43" w:rsidP="00435C43">
      <w:pPr>
        <w:spacing w:after="0" w:line="276" w:lineRule="auto"/>
        <w:ind w:firstLine="709"/>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2. Контроль за исполнением настоящего Постановления возложить на  бухгалтера Гордиенко Т.В.</w:t>
      </w:r>
    </w:p>
    <w:p w:rsidR="00435C43" w:rsidRPr="00435C43" w:rsidRDefault="00435C43" w:rsidP="00435C43">
      <w:pPr>
        <w:spacing w:after="0" w:line="276" w:lineRule="auto"/>
        <w:ind w:firstLine="709"/>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3. Настоящее Постановление вступает в силу с 1 января 2020 года и действует до 31 декабря 2022 года, а также с 1 января 2020 года отменяет действия Постановления «Об основных направлениях бюджетной и налоговой политики в 2019-2021 годах» от 13.11.2019 года № 46.</w:t>
      </w:r>
    </w:p>
    <w:p w:rsidR="00435C43" w:rsidRPr="00435C43" w:rsidRDefault="00435C43" w:rsidP="00435C43">
      <w:pPr>
        <w:spacing w:after="0" w:line="276" w:lineRule="auto"/>
        <w:ind w:firstLine="709"/>
        <w:jc w:val="both"/>
        <w:rPr>
          <w:rFonts w:ascii="Times New Roman" w:eastAsia="Times New Roman" w:hAnsi="Times New Roman" w:cs="Times New Roman"/>
          <w:sz w:val="28"/>
          <w:szCs w:val="28"/>
          <w:lang w:val="x-none"/>
        </w:rPr>
      </w:pPr>
      <w:r w:rsidRPr="00435C43">
        <w:rPr>
          <w:rFonts w:ascii="Times New Roman" w:eastAsia="Times New Roman" w:hAnsi="Times New Roman" w:cs="Times New Roman"/>
          <w:sz w:val="26"/>
          <w:szCs w:val="26"/>
        </w:rPr>
        <w:t xml:space="preserve">4.  </w:t>
      </w:r>
      <w:r w:rsidRPr="00435C43">
        <w:rPr>
          <w:rFonts w:ascii="Times New Roman" w:eastAsia="Times New Roman" w:hAnsi="Times New Roman" w:cs="Times New Roman"/>
          <w:sz w:val="28"/>
          <w:szCs w:val="28"/>
          <w:lang w:val="x-none" w:eastAsia="hi-IN"/>
        </w:rPr>
        <w:t>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http://sevrukaevo.stavrsp.ru</w:t>
      </w: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lang w:val="x-none" w:eastAsia="x-none"/>
        </w:rPr>
      </w:pP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lang w:val="x-none" w:eastAsia="x-none"/>
        </w:rPr>
      </w:pPr>
    </w:p>
    <w:p w:rsidR="00435C43" w:rsidRPr="00435C43" w:rsidRDefault="00435C43" w:rsidP="00435C43">
      <w:pPr>
        <w:keepNext/>
        <w:spacing w:after="0" w:line="240" w:lineRule="auto"/>
        <w:outlineLvl w:val="1"/>
        <w:rPr>
          <w:rFonts w:ascii="Times New Roman" w:eastAsia="Times New Roman" w:hAnsi="Times New Roman" w:cs="Times New Roman"/>
          <w:bCs/>
          <w:iCs/>
          <w:sz w:val="28"/>
          <w:szCs w:val="28"/>
          <w:lang w:eastAsia="x-none"/>
        </w:rPr>
      </w:pPr>
      <w:r w:rsidRPr="00435C43">
        <w:rPr>
          <w:rFonts w:ascii="Times New Roman" w:eastAsia="Times New Roman" w:hAnsi="Times New Roman" w:cs="Times New Roman"/>
          <w:bCs/>
          <w:iCs/>
          <w:sz w:val="28"/>
          <w:szCs w:val="28"/>
          <w:lang w:val="x-none" w:eastAsia="x-none"/>
        </w:rPr>
        <w:t xml:space="preserve">Глава сельского поселения Севрюкаево        ______________        </w:t>
      </w:r>
      <w:r w:rsidRPr="00435C43">
        <w:rPr>
          <w:rFonts w:ascii="Times New Roman" w:eastAsia="Times New Roman" w:hAnsi="Times New Roman" w:cs="Times New Roman"/>
          <w:bCs/>
          <w:iCs/>
          <w:sz w:val="28"/>
          <w:szCs w:val="28"/>
          <w:lang w:eastAsia="x-none"/>
        </w:rPr>
        <w:t>Н.Н. Алембатров</w:t>
      </w:r>
    </w:p>
    <w:p w:rsidR="00435C43" w:rsidRPr="00435C43" w:rsidRDefault="00435C43" w:rsidP="00435C43">
      <w:pPr>
        <w:spacing w:after="0" w:line="240" w:lineRule="auto"/>
        <w:rPr>
          <w:rFonts w:ascii="Times New Roman" w:eastAsia="Times New Roman" w:hAnsi="Times New Roman" w:cs="Times New Roman"/>
          <w:sz w:val="24"/>
          <w:szCs w:val="24"/>
        </w:rPr>
      </w:pP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w:t>
      </w:r>
    </w:p>
    <w:p w:rsidR="00435C43" w:rsidRPr="00435C43" w:rsidRDefault="00435C43" w:rsidP="00435C43">
      <w:pPr>
        <w:spacing w:after="0" w:line="240" w:lineRule="auto"/>
        <w:jc w:val="right"/>
        <w:rPr>
          <w:rFonts w:ascii="Times New Roman" w:eastAsia="Times New Roman" w:hAnsi="Times New Roman" w:cs="Times New Roman"/>
          <w:sz w:val="26"/>
          <w:szCs w:val="26"/>
        </w:rPr>
      </w:pP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Приложение  </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к  Постановлению администрации</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сельского поселения Севрюкаево</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муниципального района Ставропольский</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Самарской области</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От 30.10.2019 г. № 38</w:t>
      </w:r>
    </w:p>
    <w:p w:rsidR="00435C43" w:rsidRPr="00435C43" w:rsidRDefault="00435C43" w:rsidP="00435C43">
      <w:pPr>
        <w:spacing w:after="0" w:line="240" w:lineRule="auto"/>
        <w:ind w:firstLine="5387"/>
        <w:rPr>
          <w:rFonts w:ascii="Times New Roman" w:eastAsia="Times New Roman" w:hAnsi="Times New Roman" w:cs="Times New Roman"/>
          <w:sz w:val="26"/>
          <w:szCs w:val="26"/>
        </w:rPr>
      </w:pPr>
    </w:p>
    <w:p w:rsidR="00435C43" w:rsidRPr="00435C43" w:rsidRDefault="00435C43" w:rsidP="00435C43">
      <w:pPr>
        <w:numPr>
          <w:ilvl w:val="0"/>
          <w:numId w:val="1"/>
        </w:num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 Основные направления бюджетной и налоговой политики  </w:t>
      </w:r>
    </w:p>
    <w:p w:rsidR="00435C43" w:rsidRPr="00435C43" w:rsidRDefault="00435C43" w:rsidP="00435C43">
      <w:p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в сельском поселении Севрюкаево муниципального района Ставропольский                 Самарской области   на 2020-2022 годы.</w:t>
      </w:r>
    </w:p>
    <w:p w:rsidR="00435C43" w:rsidRPr="00435C43" w:rsidRDefault="00435C43" w:rsidP="00435C43">
      <w:pPr>
        <w:spacing w:after="0" w:line="240" w:lineRule="auto"/>
        <w:jc w:val="center"/>
        <w:rPr>
          <w:rFonts w:ascii="Times New Roman" w:eastAsia="Times New Roman" w:hAnsi="Times New Roman" w:cs="Times New Roman"/>
          <w:b/>
          <w:bCs/>
          <w:sz w:val="26"/>
          <w:szCs w:val="26"/>
        </w:rPr>
      </w:pP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Основные направления бюджетной политики на 2020 год и на плановый период 2021 и 2022 годов (далее - Основные направления бюджетной политики) разработаны в соответствии со статьей 165 Бюджетного кодекса Российской Федерации (далее - Бюджетный кодекс).</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При подготовке Основных направлений бюджетной и налоговой политики были учтены положения Указа Президента Российской Федерации от 07 мая 2018г. № 204 «О национальных целях и стратегических задачах развития Российской Федерации на период до 2024 года», Послания Президента Российской Федерации Федеральному Собранию Российской Федерации от 20 февраля 2019 года.</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Целью Основных направлений бюджетной и налоговой политики является определение условий, принимаемых для составления проекта бюджета  на 2020 год и на плановый период 2021 и 2022 годов (далее - проект бюджета на 2020 - 2022 годы), подходов к его формированию, основных характеристик и прогнозируемых параметров бюджета сельского поселения Севрюкаево муниципального района Ставропольский Самарской области.</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Реализация бюджетной политики в 2018-2019 годах осуществлялась в качественно новых экономических условиях. Падение цен на традиционные товары российского экспорта, введение экономических санкций и замедление потенциальных темпов роста российской экономики на фоне накопившихся структурных дисбалансов определяют внешние и внутренние условия, не соответствующие тем ожиданиям, которые закладывались при формировании бюджета на предшествующую трехлетку.</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условиях стремительного роста волатильности на финансовом рынке в конце 2016 года главной задачей экономической политики стало сохранение финансовой стабильности. Немаловажную роль в этом сыграла и бюджетная политика.</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Своевременная реализация антикризисного бюджетного маневра наряду с другими элементами государственной экономической политики позволили быстро стабилизировать ситуацию на финансовом рынке и минимизировать негативные последствия для реального сектора. Российская экономика практически завершила структурную адаптацию к внешним шокам, а, соответственно, исчерпался и негативный импульс от корректировки внутреннего спроса, необходимого для такой подстройки. По мере дальнейшего снижения инфляционных ожиданий на фоне проведения консервативной политики по индексации бюджетных расходов стал ослабевать и негативный циклический импульс.</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целях обеспечения долгосрочной сбалансированности и устойчивости бюджетов, определения финансовых возможностей для реализации муниципальных программ, оценки бюджетных рисков и своевременной проработки мер по их минимизации с 2016 года в Бюджетный кодекс включено требование о разработке и представлении в </w:t>
      </w:r>
      <w:r w:rsidRPr="00435C43">
        <w:rPr>
          <w:rFonts w:ascii="Times New Roman" w:eastAsia="Times New Roman" w:hAnsi="Times New Roman" w:cs="Times New Roman"/>
          <w:sz w:val="26"/>
          <w:szCs w:val="26"/>
        </w:rPr>
        <w:lastRenderedPageBreak/>
        <w:t>законодательные органы одновременно с проектом бюджета проекта долгосрочного бюджетного прогноза.</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К итогам реализации бюджетной политики в 2016 году можно отнести то, что начиная с 2016 года осуществлен переход на принцип планирования и исполнения местного бюджета на основе муниципальных программ. </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рамках мероприятий по повышению эффективности бюджетных расходов проведена работа по формированию нормативно-правовой базы в области муниципальных закупок. Приняты правовые акты, регулирующие нормирование затрат на обеспечение функций администрации сельского поселения.</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Значительный риск для российской экономики по-прежнему несет усиление геополитической напряженности в мире, что может дополнительно затруднить доступ российских компаний к мировому рынку капитала, привести к ослаблению рубля и новому витку роста потребительских цен, снижению деловой и потребительской активности. </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связи с тем, что на сегодняшний день главный вызов связан с нахождением баланса между усложняющимися задачами государственной политики и установленными на новом, более низком уровне бюджетными возможностями, задача повышения эффективности бюджетных расходов выходит на первый план.</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Существенный резерв повышения эффективности бюджетных расходов лежит в области подготовки бюджетных решений. В борьбе за эффективное использование бюджетных средств требуется смещение акцента на оценку обоснованности решений. Необходимо активно использовать оценку эффективности бюджетных расходов уже на этапе планирования расходов.</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Реализация поставленных задач потребует совершенствования налоговой системы Российской Федерации. Также необходимо продолжить работу по повышению собираемости налогов за счет сокращения теневого сектора, внедрения цифровых технологий в организацию налогового администрирования и налогового контроля.</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Изменения законодательства Российской Федерации о налогах и сборах должны быть направлены на создание стабильных условий для ведения предпринимательской деятельности, стимулирование развития среднего и малого предпринимательства, улучшение положения налогоплательщиков. При этом необходимо расширять налоговую базу местных бюджетов, а также выявлять дополнительные источники налоговых доходов бюджетов бюджетной системы Российской Федерации.</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br/>
        <w:t xml:space="preserve">          </w:t>
      </w:r>
    </w:p>
    <w:p w:rsidR="00435C43" w:rsidRPr="00435C43" w:rsidRDefault="00435C43" w:rsidP="00435C43">
      <w:pPr>
        <w:autoSpaceDE w:val="0"/>
        <w:autoSpaceDN w:val="0"/>
        <w:adjustRightInd w:val="0"/>
        <w:spacing w:after="0" w:line="240" w:lineRule="auto"/>
        <w:jc w:val="center"/>
        <w:outlineLvl w:val="0"/>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1.ОСНОВНЫЕ ЦЕЛИ И ЗАДАЧИ БЮДЖЕТНОЙ ПОЛИТИКИ </w:t>
      </w:r>
    </w:p>
    <w:p w:rsidR="00435C43" w:rsidRPr="00435C43" w:rsidRDefault="00435C43" w:rsidP="00435C43">
      <w:pPr>
        <w:autoSpaceDE w:val="0"/>
        <w:autoSpaceDN w:val="0"/>
        <w:adjustRightInd w:val="0"/>
        <w:spacing w:after="0" w:line="240" w:lineRule="auto"/>
        <w:jc w:val="center"/>
        <w:outlineLvl w:val="0"/>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 И ПРИОРИТЕТЫ БЮДЖЕТНЫХ РАСХОДОВ</w:t>
      </w:r>
    </w:p>
    <w:p w:rsidR="00435C43" w:rsidRPr="00435C43" w:rsidRDefault="00435C43" w:rsidP="00435C43">
      <w:pPr>
        <w:autoSpaceDE w:val="0"/>
        <w:autoSpaceDN w:val="0"/>
        <w:adjustRightInd w:val="0"/>
        <w:spacing w:after="0" w:line="240" w:lineRule="auto"/>
        <w:jc w:val="center"/>
        <w:outlineLvl w:val="0"/>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НА 2020 – 2022 ГОДЫ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p>
    <w:p w:rsidR="00435C43" w:rsidRP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rsidR="00435C43" w:rsidRPr="00435C43" w:rsidRDefault="00435C43" w:rsidP="00435C43">
      <w:pPr>
        <w:spacing w:after="0" w:line="240" w:lineRule="auto"/>
        <w:ind w:firstLine="539"/>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трехлетней перспективе 2020 - 2022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w:t>
      </w:r>
      <w:r w:rsidRPr="00435C43">
        <w:rPr>
          <w:rFonts w:ascii="Times New Roman" w:eastAsia="Times New Roman" w:hAnsi="Times New Roman" w:cs="Times New Roman"/>
          <w:sz w:val="26"/>
          <w:szCs w:val="26"/>
        </w:rPr>
        <w:lastRenderedPageBreak/>
        <w:t>налогов и сборов, снижение масштабов уклонения от уплаты налогов. Одновременно в рамках своих полномочий планируется дальнейшее применение мер налогового стимулирования инвестиций, а также дальнейшее повышение эффективности системы налогового администрирования.</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b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br/>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br/>
        <w:t>- повышение качества администрирования налоговых и неналоговых доходов местного бюджета;</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br/>
        <w:t>- повышение эффективности использования муниципального имущества.</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b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br/>
        <w:t>- сокращение задолженности по налоговым и неналоговым доходам в местный бюджет;</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br/>
        <w:t>- усиление претензионно-исковой работы с недоимщиками по неналоговым доходам в местный бюджет;</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br/>
        <w:t>- продолжение работы по легализации заработной платы;</w:t>
      </w:r>
    </w:p>
    <w:p w:rsidR="00435C43" w:rsidRP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p>
    <w:p w:rsidR="00435C43" w:rsidRP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rsidR="00435C43" w:rsidRP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энергоэффективность. Это отмечалось и в Бюджетном Послании Президента РФ.</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lastRenderedPageBreak/>
        <w:t>Участие в предупреждении и ликвидации последствий чрезвычайных ситуаций,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 инвестицией в будущее развитие;</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Основными задачами ближайших лет по повышению эффективности бюджетных расходов являются: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повышение эффективности и результативности имеющихся инструментов программно-целевого управления и бюджетирования;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создание условий для повышения качества предоставления муниципальных услуг;</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повышение эффективности процедур проведения муниципальных закупок, в том числе путем внедрения казначейского сопровождения;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«Электронный бюджет».</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 2017 года внедрены компоненты системы,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Также, с целью внутреннего социального и экономического развития, особое внимание необходимо уделить </w:t>
      </w:r>
      <w:r w:rsidRPr="00435C43">
        <w:rPr>
          <w:rFonts w:ascii="Times New Roman" w:eastAsia="Times New Roman" w:hAnsi="Times New Roman" w:cs="Times New Roman"/>
          <w:color w:val="333333"/>
          <w:sz w:val="26"/>
          <w:szCs w:val="26"/>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r w:rsidRPr="00435C43">
        <w:rPr>
          <w:rFonts w:ascii="Times New Roman" w:eastAsia="Times New Roman" w:hAnsi="Times New Roman" w:cs="Times New Roman"/>
          <w:sz w:val="26"/>
          <w:szCs w:val="26"/>
        </w:rPr>
        <w:t xml:space="preserve">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numPr>
          <w:ilvl w:val="0"/>
          <w:numId w:val="1"/>
        </w:numPr>
        <w:autoSpaceDE w:val="0"/>
        <w:autoSpaceDN w:val="0"/>
        <w:adjustRightInd w:val="0"/>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ОСНОВНЫЕ НАПРАВЛЕНИЯ НАЛОГОВОЙ ПОЛИТИКИ</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bCs/>
          <w:sz w:val="26"/>
          <w:szCs w:val="26"/>
        </w:rPr>
      </w:pPr>
    </w:p>
    <w:p w:rsidR="00435C43" w:rsidRPr="00435C43"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lastRenderedPageBreak/>
        <w:t>Основные направления налоговой политики сельского поселения на 2020 год и на плановый период 2021 и 2022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rsidR="00435C43" w:rsidRPr="00435C43"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6"/>
          <w:szCs w:val="26"/>
        </w:rPr>
      </w:pPr>
    </w:p>
    <w:p w:rsidR="00435C43" w:rsidRPr="00435C43" w:rsidRDefault="00435C43" w:rsidP="00435C43">
      <w:pPr>
        <w:numPr>
          <w:ilvl w:val="0"/>
          <w:numId w:val="2"/>
        </w:numPr>
        <w:autoSpaceDE w:val="0"/>
        <w:autoSpaceDN w:val="0"/>
        <w:adjustRightInd w:val="0"/>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Основные меры в области налоговой политики,</w:t>
      </w:r>
    </w:p>
    <w:p w:rsidR="00435C43" w:rsidRPr="00435C43"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планируемые к реализации в 2020 году и плановом</w:t>
      </w:r>
    </w:p>
    <w:p w:rsidR="00435C43" w:rsidRPr="00435C43"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периоде 2021 и 2022 годов</w:t>
      </w:r>
    </w:p>
    <w:p w:rsidR="00435C43" w:rsidRPr="00435C43"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r w:rsidRPr="00435C43">
        <w:rPr>
          <w:rFonts w:ascii="Times New Roman" w:eastAsia="Times New Roman" w:hAnsi="Times New Roman" w:cs="Times New Roman"/>
          <w:sz w:val="26"/>
          <w:szCs w:val="26"/>
        </w:rPr>
        <w:t>В рамках исполнения Послания Президента Российской Федерации, предполагается внесение изменений в законодательство Российской Федерации, предусматривающих добровольное декларирование физическими лицами имущества (счетов и вкладов в банках), включая возможности задекларировать имущество, переданное номинальному владельцу, предоставление таким декларантам значительного объема муниципальных гарантий, направленных на непривлечение к уголовной, административной и налоговой ответственности в части нарушений налогового, валютного и таможенного законодательства.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Необходимо понимать, что рост доходов должен быть обеспечен прежде всего за счет улучшения администрирования уже существующих налогов. На сегодня актуальными остаются вопросы совершенствования администрирования доходов.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numPr>
          <w:ilvl w:val="1"/>
          <w:numId w:val="3"/>
        </w:numPr>
        <w:autoSpaceDE w:val="0"/>
        <w:autoSpaceDN w:val="0"/>
        <w:adjustRightInd w:val="0"/>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Налогообложение доходов физических лиц</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numPr>
          <w:ilvl w:val="1"/>
          <w:numId w:val="2"/>
        </w:numPr>
        <w:autoSpaceDE w:val="0"/>
        <w:autoSpaceDN w:val="0"/>
        <w:adjustRightInd w:val="0"/>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Акцизное налогообложение.  Индексация ставок акцизов</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sz w:val="26"/>
          <w:szCs w:val="26"/>
        </w:rPr>
      </w:pPr>
      <w:r w:rsidRPr="00435C43">
        <w:rPr>
          <w:rFonts w:ascii="Times New Roman" w:eastAsia="Times New Roman" w:hAnsi="Times New Roman" w:cs="Times New Roman"/>
          <w:sz w:val="26"/>
          <w:szCs w:val="26"/>
        </w:rPr>
        <w:t>На 2020 и 2021 годы предусматривается сохранение размеров ставок акцизов, установленных действующим законодательством о налогах и сборах. На 2022 год предполагается индексация ставок акцизов с учетом индекса потребительских цен.</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1.3</w:t>
      </w:r>
      <w:r w:rsidRPr="00435C43">
        <w:rPr>
          <w:rFonts w:ascii="Times New Roman" w:eastAsia="Times New Roman" w:hAnsi="Times New Roman" w:cs="Times New Roman"/>
          <w:sz w:val="24"/>
          <w:szCs w:val="24"/>
        </w:rPr>
        <w:t xml:space="preserve"> </w:t>
      </w:r>
      <w:r w:rsidRPr="00435C43">
        <w:rPr>
          <w:rFonts w:ascii="Times New Roman" w:eastAsia="Times New Roman" w:hAnsi="Times New Roman" w:cs="Times New Roman"/>
          <w:b/>
          <w:sz w:val="26"/>
          <w:szCs w:val="26"/>
        </w:rPr>
        <w:t>Оценка эффективности налоговых льгот и иных</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стимулирующих механизмов. Подходы к установлению</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налоговых льгот. Отмена федеральных льгот по</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региональным и местным налогам</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Принятый в 2012 году Федеральный закон от 29 ноября 2012 г. № 202-ФЗ «О внесении изменений в часть вторую Налогового кодекса Российской Федерации», </w:t>
      </w:r>
      <w:r w:rsidRPr="00435C43">
        <w:rPr>
          <w:rFonts w:ascii="Times New Roman" w:eastAsia="Times New Roman" w:hAnsi="Times New Roman" w:cs="Times New Roman"/>
          <w:sz w:val="26"/>
          <w:szCs w:val="26"/>
        </w:rPr>
        <w:lastRenderedPageBreak/>
        <w:t>предусматривает поэтапную отмену льгот по налогу на имущество организаций в отношении линейных объектов инфраструктуры.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энергопередачи, сооружений, являющихся их неотъемлемой технологической частью, с постепенным увеличением ставки с 0,4% в 2013 году до 2,2% в 2019 году.</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 оценкам Минфина России, выпадающие доходы от указанных льгот на момент их существования в 2012 году составляли около 85 процентов объема всех выпадающих доходов региональных и местных бюджетов от предоставления льгот на федеральном уровне по региональным и местным налогам. Таким образом, по окончании переходного периода, к 2018 году, федеральные льготы по региональным и местным налогам уже в соответствии с принятыми решениями будут сокращены на 85 процентов.</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435C43" w:rsidRDefault="00435C43" w:rsidP="00435C43">
      <w:pPr>
        <w:numPr>
          <w:ilvl w:val="0"/>
          <w:numId w:val="2"/>
        </w:num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lastRenderedPageBreak/>
        <w:t>Основные итоги реализации налоговой политики</w:t>
      </w:r>
    </w:p>
    <w:p w:rsidR="00435C43" w:rsidRPr="00435C43" w:rsidRDefault="00435C43" w:rsidP="00435C43">
      <w:pPr>
        <w:numPr>
          <w:ilvl w:val="1"/>
          <w:numId w:val="1"/>
        </w:numPr>
        <w:autoSpaceDE w:val="0"/>
        <w:autoSpaceDN w:val="0"/>
        <w:adjustRightInd w:val="0"/>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Налогообложение недвижимого имущества физических лиц</w:t>
      </w:r>
    </w:p>
    <w:p w:rsidR="00435C43" w:rsidRPr="00435C43"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6"/>
          <w:szCs w:val="26"/>
        </w:rPr>
      </w:pP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Так, по решению субъекта Российской Федерации устанавливается порядок определения налоговой базы по налогу на имущество физических лиц: исходя из кадастровой стоимости объекта или его инвентаризационной стоимости (т.е. временное (до 2020 года) сохранение действующего порядка). 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numPr>
          <w:ilvl w:val="1"/>
          <w:numId w:val="1"/>
        </w:numPr>
        <w:autoSpaceDE w:val="0"/>
        <w:autoSpaceDN w:val="0"/>
        <w:adjustRightInd w:val="0"/>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Имущественные налоги</w:t>
      </w:r>
    </w:p>
    <w:p w:rsidR="00435C43" w:rsidRPr="00435C43"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 xml:space="preserve">2.2.1. </w:t>
      </w:r>
      <w:r w:rsidRPr="00435C43">
        <w:rPr>
          <w:rFonts w:ascii="Times New Roman" w:eastAsia="Times New Roman" w:hAnsi="Times New Roman" w:cs="Times New Roman"/>
          <w:sz w:val="24"/>
          <w:szCs w:val="24"/>
        </w:rPr>
        <w:t xml:space="preserve"> </w:t>
      </w:r>
      <w:r w:rsidRPr="00435C43">
        <w:rPr>
          <w:rFonts w:ascii="Times New Roman" w:eastAsia="Times New Roman" w:hAnsi="Times New Roman" w:cs="Times New Roman"/>
          <w:b/>
          <w:sz w:val="26"/>
          <w:szCs w:val="26"/>
        </w:rPr>
        <w:t>Налог на имущество организаций и налог на имущество физических лиц для налогоплательщиков, применяющих  специальные налоговые режимы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w:t>
      </w:r>
      <w:r w:rsidRPr="00435C43">
        <w:rPr>
          <w:rFonts w:ascii="Times New Roman" w:eastAsia="Times New Roman" w:hAnsi="Times New Roman" w:cs="Times New Roman"/>
          <w:sz w:val="26"/>
          <w:szCs w:val="26"/>
        </w:rPr>
        <w:lastRenderedPageBreak/>
        <w:t>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2.2.2 Установление единого срока уплаты имущественных налогов физическими лицами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2.3 Налогообложение доходов физических лиц</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Изменение механизма освобождения от налогообложения доходов физических лиц, полученных от продажи жилых помещений</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Федерации;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в результате приватизации;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в результате передачи имущества по договору пожизненного содержания с иждивением.</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855602" w:rsidRDefault="00855602">
      <w:bookmarkStart w:id="0" w:name="_GoBack"/>
      <w:bookmarkEnd w:id="0"/>
    </w:p>
    <w:sectPr w:rsidR="00855602" w:rsidSect="002A7579">
      <w:pgSz w:w="11906" w:h="16838"/>
      <w:pgMar w:top="851" w:right="707" w:bottom="851" w:left="1276"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15:restartNumberingAfterBreak="0">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099"/>
    <w:rsid w:val="00062099"/>
    <w:rsid w:val="00435C43"/>
    <w:rsid w:val="008556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1635C7-B1CD-4F21-8B9F-1BB7A8E38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3872</Words>
  <Characters>22076</Characters>
  <Application>Microsoft Office Word</Application>
  <DocSecurity>0</DocSecurity>
  <Lines>183</Lines>
  <Paragraphs>51</Paragraphs>
  <ScaleCrop>false</ScaleCrop>
  <Company/>
  <LinksUpToDate>false</LinksUpToDate>
  <CharactersWithSpaces>25897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2019-10-29T10:40:00Z</dcterms:created>
  <dcterms:modified xsi:type="dcterms:W3CDTF">2019-10-29T10:40:00Z</dcterms:modified>
</cp:coreProperties>
</file>